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/>
        <w:spacing w:line="223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Приложение № 1 </w:t>
      </w:r>
      <w:r>
        <w:rPr>
          <w:rFonts w:ascii="PT Astra Serif" w:hAnsi="PT Astra Serif"/>
          <w:szCs w:val="28"/>
        </w:rPr>
      </w:r>
      <w:r/>
    </w:p>
    <w:p>
      <w:pPr>
        <w:ind w:left="5387"/>
        <w:spacing w:line="223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УТВЕРЖДЕНЫ приказом</w:t>
      </w:r>
      <w:r>
        <w:rPr>
          <w:rFonts w:ascii="PT Astra Serif" w:hAnsi="PT Astra Serif"/>
          <w:szCs w:val="28"/>
        </w:rPr>
      </w:r>
      <w:r/>
    </w:p>
    <w:p>
      <w:pPr>
        <w:ind w:left="5387"/>
        <w:spacing w:line="223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министерства финансов Саратовской области</w:t>
      </w:r>
      <w:r>
        <w:rPr>
          <w:rFonts w:ascii="PT Astra Serif" w:hAnsi="PT Astra Serif"/>
          <w:szCs w:val="28"/>
        </w:rPr>
      </w:r>
      <w:r/>
    </w:p>
    <w:p>
      <w:pPr>
        <w:ind w:left="5387"/>
        <w:spacing w:line="223" w:lineRule="auto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от ______________ года №_____</w:t>
      </w:r>
      <w:r>
        <w:rPr>
          <w:rFonts w:ascii="PT Astra Serif" w:hAnsi="PT Astra Serif"/>
          <w:szCs w:val="28"/>
        </w:rPr>
      </w:r>
      <w:r/>
    </w:p>
    <w:p>
      <w:pPr>
        <w:jc w:val="center"/>
        <w:spacing w:line="223" w:lineRule="auto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</w:r>
      <w:r>
        <w:rPr>
          <w:rFonts w:ascii="PT Astra Serif" w:hAnsi="PT Astra Serif"/>
          <w:b/>
          <w:szCs w:val="28"/>
        </w:rPr>
      </w:r>
      <w:r/>
    </w:p>
    <w:p>
      <w:pPr>
        <w:jc w:val="center"/>
        <w:spacing w:line="223" w:lineRule="auto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</w:r>
      <w:r>
        <w:rPr>
          <w:rFonts w:ascii="PT Astra Serif" w:hAnsi="PT Astra Serif"/>
          <w:b/>
          <w:szCs w:val="28"/>
        </w:rPr>
      </w:r>
      <w:r/>
    </w:p>
    <w:p>
      <w:pPr>
        <w:jc w:val="center"/>
        <w:spacing w:line="223" w:lineRule="auto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Указания</w:t>
      </w:r>
      <w:r>
        <w:rPr>
          <w:rFonts w:ascii="PT Astra Serif" w:hAnsi="PT Astra Serif"/>
          <w:b/>
          <w:szCs w:val="28"/>
        </w:rPr>
      </w:r>
      <w:r/>
    </w:p>
    <w:p>
      <w:pPr>
        <w:jc w:val="center"/>
        <w:spacing w:line="223" w:lineRule="auto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о порядке составления и представления в министерство финансов Саратовской области годовой бюджетной отчетности об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b/>
          <w:szCs w:val="28"/>
        </w:rPr>
        <w:t xml:space="preserve">исполнении бюджета (консолидированного бюджета) городского </w:t>
      </w:r>
      <w:r>
        <w:rPr>
          <w:rFonts w:ascii="PT Astra Serif" w:hAnsi="PT Astra Serif"/>
          <w:b/>
          <w:szCs w:val="28"/>
        </w:rPr>
        <w:t xml:space="preserve">(муниципального) </w:t>
      </w:r>
      <w:r>
        <w:rPr>
          <w:rFonts w:ascii="PT Astra Serif" w:hAnsi="PT Astra Serif"/>
          <w:b/>
          <w:szCs w:val="28"/>
        </w:rPr>
        <w:t xml:space="preserve">округа (муниципального района) Саратовской области, бюджета Территориального фонда обязательного медицинского страхования Саратовской области и годовой сводной бухгалтерской отчетности муниципальных бюджетных и автономных учреждений за </w:t>
      </w:r>
      <w:r>
        <w:rPr>
          <w:rFonts w:ascii="PT Astra Serif" w:hAnsi="PT Astra Serif"/>
          <w:b/>
          <w:szCs w:val="28"/>
        </w:rPr>
        <w:t xml:space="preserve">202</w:t>
      </w:r>
      <w:r>
        <w:rPr>
          <w:rFonts w:ascii="PT Astra Serif" w:hAnsi="PT Astra Serif"/>
          <w:b/>
          <w:szCs w:val="28"/>
        </w:rPr>
        <w:t xml:space="preserve">5</w:t>
      </w:r>
      <w:r>
        <w:rPr>
          <w:rFonts w:ascii="PT Astra Serif" w:hAnsi="PT Astra Serif"/>
          <w:b/>
          <w:szCs w:val="28"/>
        </w:rPr>
        <w:t xml:space="preserve"> </w:t>
      </w:r>
      <w:r>
        <w:rPr>
          <w:rFonts w:ascii="PT Astra Serif" w:hAnsi="PT Astra Serif"/>
          <w:b/>
          <w:szCs w:val="28"/>
        </w:rPr>
        <w:t xml:space="preserve">год</w:t>
      </w:r>
      <w:r>
        <w:rPr>
          <w:rFonts w:ascii="PT Astra Serif" w:hAnsi="PT Astra Serif"/>
          <w:b/>
          <w:szCs w:val="28"/>
        </w:rPr>
      </w:r>
      <w:r/>
    </w:p>
    <w:p>
      <w:pPr>
        <w:jc w:val="center"/>
        <w:spacing w:line="223" w:lineRule="auto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</w:r>
      <w:r>
        <w:rPr>
          <w:rFonts w:ascii="PT Astra Serif" w:hAnsi="PT Astra Serif"/>
          <w:b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1. В составе годовой бюджетной отчетности об исполнении бюджета городского </w:t>
      </w:r>
      <w:r>
        <w:rPr>
          <w:rFonts w:ascii="PT Astra Serif" w:hAnsi="PT Astra Serif"/>
          <w:szCs w:val="28"/>
        </w:rPr>
        <w:t xml:space="preserve">(муниципального) </w:t>
      </w:r>
      <w:r>
        <w:rPr>
          <w:rFonts w:ascii="PT Astra Serif" w:hAnsi="PT Astra Serif"/>
          <w:szCs w:val="28"/>
        </w:rPr>
        <w:t xml:space="preserve">округа области и бюджета Территориального фонда обязательного медицинского страхования Саратовской области (далее – годовая бюджетная отчетность об исполнении бюджета) в министерство финансов области представляются следующие формы отчетности: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Баланс исполнения бюджета </w:t>
      </w:r>
      <w:hyperlink r:id="rId13" w:tooltip="consultantplus://offline/main?base=LAW;n=108797;fld=134;dst=102531" w:history="1">
        <w:r>
          <w:rPr>
            <w:rFonts w:ascii="PT Astra Serif" w:hAnsi="PT Astra Serif"/>
            <w:szCs w:val="28"/>
          </w:rPr>
          <w:t xml:space="preserve">(ф. 0503120)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по консолидируемым расчетам </w:t>
      </w:r>
      <w:hyperlink r:id="rId14" w:tooltip="consultantplus://offline/main?base=LAW;n=108797;fld=134;dst=102200" w:history="1">
        <w:r>
          <w:rPr>
            <w:rFonts w:ascii="PT Astra Serif" w:hAnsi="PT Astra Serif"/>
            <w:szCs w:val="28"/>
          </w:rPr>
          <w:t xml:space="preserve">(ф. 0503125)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 бюджетных обязательствах (ф. 0503128);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по заключению счетов бюджетного учета отчетного финансового года </w:t>
      </w:r>
      <w:hyperlink r:id="rId15" w:tooltip="consultantplus://offline/main?base=LAW;n=108797;fld=134;dst=102219" w:history="1">
        <w:r>
          <w:rPr>
            <w:rFonts w:ascii="PT Astra Serif" w:hAnsi="PT Astra Serif"/>
            <w:szCs w:val="28"/>
          </w:rPr>
          <w:t xml:space="preserve">(ф. 0503110)</w:t>
        </w:r>
      </w:hyperlink>
      <w:r>
        <w:rPr>
          <w:rFonts w:ascii="PT Astra Serif" w:hAnsi="PT Astra Serif"/>
          <w:szCs w:val="28"/>
        </w:rPr>
        <w:t xml:space="preserve">; 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о суммах консолидируемых поступлений, подлежащих зачислению на счет бюджета (ф. 0503184);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об исполнении бюджета </w:t>
      </w:r>
      <w:hyperlink r:id="rId16" w:tooltip="consultantplus://offline/main?base=LAW;n=108797;fld=134;dst=102817" w:history="1">
        <w:r>
          <w:rPr>
            <w:rFonts w:ascii="PT Astra Serif" w:hAnsi="PT Astra Serif"/>
            <w:szCs w:val="28"/>
          </w:rPr>
          <w:t xml:space="preserve">(ф. 0503117)</w:t>
        </w:r>
      </w:hyperlink>
      <w:r>
        <w:rPr>
          <w:rFonts w:ascii="PT Astra Serif" w:hAnsi="PT Astra Serif"/>
          <w:szCs w:val="28"/>
        </w:rPr>
        <w:t xml:space="preserve">; 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 движении денежных средств (ф. 0503123);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 финансовых результатах деятельности </w:t>
      </w:r>
      <w:hyperlink r:id="rId17" w:tooltip="consultantplus://offline/main?base=LAW;n=108797;fld=134;dst=102359" w:history="1">
        <w:r>
          <w:rPr>
            <w:rFonts w:ascii="PT Astra Serif" w:hAnsi="PT Astra Serif"/>
            <w:szCs w:val="28"/>
          </w:rPr>
          <w:t xml:space="preserve">(ф. 0503121)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  <w:outlineLvl w:val="1"/>
      </w:pPr>
      <w:r>
        <w:rPr>
          <w:rFonts w:ascii="PT Astra Serif" w:hAnsi="PT Astra Serif"/>
          <w:szCs w:val="28"/>
        </w:rPr>
        <w:t xml:space="preserve">Пояснительная записка </w:t>
      </w:r>
      <w:hyperlink r:id="rId18" w:tooltip="consultantplus://offline/main?base=LAW;n=108797;fld=134;dst=102996" w:history="1">
        <w:r>
          <w:rPr>
            <w:rFonts w:ascii="PT Astra Serif" w:hAnsi="PT Astra Serif"/>
            <w:szCs w:val="28"/>
          </w:rPr>
          <w:t xml:space="preserve">(ф. 0503160)</w:t>
        </w:r>
      </w:hyperlink>
      <w:r>
        <w:rPr>
          <w:rFonts w:ascii="PT Astra Serif" w:hAnsi="PT Astra Serif"/>
          <w:szCs w:val="28"/>
        </w:rPr>
        <w:t xml:space="preserve">, включающую в себя текстовую часть, составляется в составе следующих разделов и форм отчетности: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  <w:outlineLvl w:val="1"/>
      </w:pPr>
      <w:r>
        <w:rPr>
          <w:rFonts w:ascii="PT Astra Serif" w:hAnsi="PT Astra Serif"/>
          <w:szCs w:val="28"/>
        </w:rPr>
        <w:t xml:space="preserve">Раздел 1 «Организационная структура субъекта бюджетной отчетности»;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  <w:outlineLvl w:val="1"/>
      </w:pPr>
      <w:r>
        <w:rPr>
          <w:rFonts w:ascii="PT Astra Serif" w:hAnsi="PT Astra Serif"/>
          <w:szCs w:val="28"/>
        </w:rPr>
        <w:t xml:space="preserve">Раздел 2 «Результаты деятельности субъекта бюджетной отчетности»;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  <w:outlineLvl w:val="1"/>
      </w:pPr>
      <w:r>
        <w:rPr>
          <w:rFonts w:ascii="PT Astra Serif" w:hAnsi="PT Astra Serif"/>
          <w:szCs w:val="28"/>
        </w:rPr>
        <w:t xml:space="preserve">Раздел 3 «Анализ отчета об исполнении бюджета субъектом бюджетной отчетности»;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  <w:outlineLvl w:val="1"/>
      </w:pPr>
      <w:r>
        <w:rPr>
          <w:rFonts w:ascii="PT Astra Serif" w:hAnsi="PT Astra Serif"/>
          <w:szCs w:val="28"/>
        </w:rPr>
        <w:t xml:space="preserve">Раздел 4 «Анализ показателей бухгалтерской отчетности субъекта бюджетной отчетности», включающий: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lang w:eastAsia="en-US"/>
        </w:rPr>
        <w:outlineLvl w:val="1"/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 движении нефинансовых активов </w:t>
      </w:r>
      <w:hyperlink r:id="rId19" w:tooltip="consultantplus://offline/ref=B7E0D3CAFFFF10D3E9A32224677F01971780F52490267D05489038CC69654B189742EA65DFD6FE38c6yBG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0503168)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 w:eastAsiaTheme="minorHAnsi"/>
          <w:spacing w:val="-6"/>
          <w:szCs w:val="28"/>
          <w:lang w:eastAsia="en-US"/>
        </w:rPr>
        <w:t xml:space="preserve">Сведения по дебиторской и кредиторской задолженности </w:t>
      </w:r>
      <w:hyperlink r:id="rId20" w:tooltip="consultantplus://offline/ref=B7E0D3CAFFFF10D3E9A32224677F01971780F52490267D05489038CC69654B189742EA65DFD6FF3Cc6yCG" w:history="1">
        <w:r>
          <w:rPr>
            <w:rFonts w:ascii="PT Astra Serif" w:hAnsi="PT Astra Serif" w:eastAsiaTheme="minorHAnsi"/>
            <w:spacing w:val="-6"/>
            <w:szCs w:val="28"/>
            <w:lang w:eastAsia="en-US"/>
          </w:rPr>
          <w:t xml:space="preserve">(ф. 0503169)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 w:eastAsiaTheme="minorHAnsi"/>
          <w:spacing w:val="-6"/>
          <w:szCs w:val="28"/>
          <w:lang w:eastAsia="en-US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21" w:tooltip="consultantplus://offline/ref=B7E0D3CAFFFF10D3E9A32224677F01971780F52490267D05489038CC69654B189742EA65DFD6FF3Bc6yAG" w:history="1">
        <w:r>
          <w:rPr>
            <w:rFonts w:ascii="PT Astra Serif" w:hAnsi="PT Astra Serif" w:eastAsiaTheme="minorHAnsi"/>
            <w:spacing w:val="-6"/>
            <w:szCs w:val="28"/>
            <w:lang w:eastAsia="en-US"/>
          </w:rPr>
          <w:t xml:space="preserve">(ф. 0503171)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  <w:outlineLvl w:val="1"/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</w:t>
      </w:r>
      <w:hyperlink r:id="rId22" w:tooltip="consultantplus://offline/ref=B7E0D3CAFFFF10D3E9A32224677F01971780F52490267D05489038CC69654B189742EA65DFD6FF3Bc6y0G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0503172)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  <w:outlineLvl w:val="1"/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об изменении остатков валюты баланса </w:t>
      </w:r>
      <w:hyperlink r:id="rId23" w:tooltip="consultantplus://offline/ref=B7E0D3CAFFFF10D3E9A32224677F01971780F52490267D05489038CC69654B189742EA65DFD6FF3Ac6yCG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0503173)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  <w:outlineLvl w:val="1"/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 принятых и неисполненных обязательствах получателя бюджетных средств (ф. 0503175);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  <w:outlineLvl w:val="1"/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об остатках денежных средств на счетах получателя бюджетных средств (ф. 0503178);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</w:pPr>
      <w:r>
        <w:rPr>
          <w:rFonts w:ascii="PT Astra Serif" w:hAnsi="PT Astra Serif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24" w:tooltip="consultantplus://offline/ref=8F24DC8F679F72D42CB28132D46A48549F02CC3C4367EADE040D6D3FD8E5D6C7327A32140E38RBmFM" w:history="1">
        <w:r>
          <w:rPr>
            <w:rFonts w:ascii="PT Astra Serif" w:hAnsi="PT Astra Serif"/>
            <w:szCs w:val="28"/>
          </w:rPr>
          <w:t xml:space="preserve">(ф. 0503190)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</w:pPr>
      <w:r>
        <w:rPr>
          <w:rFonts w:ascii="PT Astra Serif" w:hAnsi="PT Astra Serif"/>
          <w:szCs w:val="28"/>
        </w:rPr>
        <w:t xml:space="preserve">Раздел 5 «Прочие вопросы деятельности субъекта бюджетной отчетности», включающий: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  <w:szCs w:val="28"/>
        </w:rPr>
        <w:t xml:space="preserve">Сведения об исполнении судебных решений по денежным обязательствам бюджета (ф. 0503296).</w:t>
      </w:r>
      <w:r/>
      <w:r>
        <w:rPr>
          <w:rFonts w:ascii="PT Astra Serif" w:hAnsi="PT Astra Serif"/>
        </w:rPr>
      </w:r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2. В состав</w:t>
      </w:r>
      <w:r>
        <w:rPr>
          <w:rFonts w:ascii="PT Astra Serif" w:hAnsi="PT Astra Serif"/>
          <w:szCs w:val="28"/>
        </w:rPr>
        <w:t xml:space="preserve">е годовой бюджетной отчетности об исполнении консолидированного бюджета муниципального района области (далее – годовая бюджетная отчетность об исполнении консолидированного бюджета) в министерство финансов области представляются следующие формы отчетности: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Баланс исполнения консолидированного бюджета субъекта Российской Федерации и бюджета территориального государственного внебюджетного фонда </w:t>
      </w:r>
      <w:hyperlink r:id="rId25" w:tooltip="consultantplus://offline/main?base=LAW;n=108797;fld=134;dst=103389" w:history="1">
        <w:r>
          <w:rPr>
            <w:rFonts w:ascii="PT Astra Serif" w:hAnsi="PT Astra Serif"/>
            <w:szCs w:val="28"/>
          </w:rPr>
          <w:t xml:space="preserve">(ф. 0503320)</w:t>
        </w:r>
      </w:hyperlink>
      <w:r>
        <w:rPr>
          <w:rFonts w:ascii="PT Astra Serif" w:hAnsi="PT Astra Serif"/>
          <w:szCs w:val="28"/>
        </w:rPr>
        <w:t xml:space="preserve">; 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по консолидируемым расчетам </w:t>
      </w:r>
      <w:hyperlink r:id="rId26" w:tooltip="consultantplus://offline/main?base=LAW;n=108797;fld=134;dst=102200" w:history="1">
        <w:r>
          <w:rPr>
            <w:rFonts w:ascii="PT Astra Serif" w:hAnsi="PT Astra Serif"/>
            <w:szCs w:val="28"/>
          </w:rPr>
          <w:t xml:space="preserve">(ф. 0503125)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об исполнении консолидированного бюджета субъекта Российской Федерации и бюджета территориального государственного внебюджетного фонда </w:t>
      </w:r>
      <w:hyperlink r:id="rId27" w:tooltip="consultantplus://offline/main?base=LAW;n=108797;fld=134;dst=104162" w:history="1">
        <w:r>
          <w:rPr>
            <w:rFonts w:ascii="PT Astra Serif" w:hAnsi="PT Astra Serif"/>
            <w:szCs w:val="28"/>
          </w:rPr>
          <w:t xml:space="preserve">(ф. 0503317)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pacing w:val="-6"/>
          <w:szCs w:val="28"/>
          <w:lang w:eastAsia="en-US"/>
        </w:rPr>
        <w:outlineLvl w:val="1"/>
      </w:pPr>
      <w:r>
        <w:rPr>
          <w:rFonts w:ascii="PT Astra Serif" w:hAnsi="PT Astra Serif" w:eastAsiaTheme="minorHAnsi"/>
          <w:spacing w:val="-6"/>
          <w:szCs w:val="28"/>
          <w:lang w:eastAsia="en-US"/>
        </w:rPr>
        <w:t xml:space="preserve">Консолидированный отчет о движении денежных средств </w:t>
      </w:r>
      <w:hyperlink r:id="rId28" w:tooltip="consultantplus://offline/main?base=LAW;n=108797;fld=134;dst=103994" w:history="1">
        <w:r>
          <w:rPr>
            <w:rFonts w:ascii="PT Astra Serif" w:hAnsi="PT Astra Serif" w:eastAsiaTheme="minorHAnsi"/>
            <w:spacing w:val="-6"/>
            <w:szCs w:val="28"/>
            <w:lang w:eastAsia="en-US"/>
          </w:rPr>
          <w:t xml:space="preserve">(ф. 0503323)</w:t>
        </w:r>
      </w:hyperlink>
      <w:r>
        <w:rPr>
          <w:rFonts w:ascii="PT Astra Serif" w:hAnsi="PT Astra Serif" w:eastAsiaTheme="minorHAnsi"/>
          <w:spacing w:val="-6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pacing w:val="-6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pacing w:val="-6"/>
          <w:szCs w:val="28"/>
          <w:lang w:eastAsia="en-US"/>
        </w:rPr>
        <w:outlineLvl w:val="1"/>
      </w:pPr>
      <w:r>
        <w:rPr>
          <w:rFonts w:ascii="PT Astra Serif" w:hAnsi="PT Astra Serif" w:eastAsiaTheme="minorHAnsi"/>
          <w:spacing w:val="-6"/>
          <w:szCs w:val="28"/>
          <w:lang w:eastAsia="en-US"/>
        </w:rPr>
        <w:t xml:space="preserve">Консолидированный отчет о финансовых результатах деятельности </w:t>
      </w:r>
      <w:r>
        <w:rPr>
          <w:rFonts w:ascii="PT Astra Serif" w:hAnsi="PT Astra Serif" w:eastAsiaTheme="minorHAnsi"/>
          <w:spacing w:val="-6"/>
          <w:szCs w:val="28"/>
          <w:lang w:eastAsia="en-US"/>
        </w:rPr>
        <w:br/>
      </w:r>
      <w:hyperlink r:id="rId29" w:tooltip="consultantplus://offline/main?base=LAW;n=108797;fld=134;dst=103826" w:history="1">
        <w:r>
          <w:rPr>
            <w:rFonts w:ascii="PT Astra Serif" w:hAnsi="PT Astra Serif" w:eastAsiaTheme="minorHAnsi"/>
            <w:spacing w:val="-6"/>
            <w:szCs w:val="28"/>
            <w:lang w:eastAsia="en-US"/>
          </w:rPr>
          <w:t xml:space="preserve">(ф. 0503321)</w:t>
        </w:r>
      </w:hyperlink>
      <w:r>
        <w:rPr>
          <w:rFonts w:ascii="PT Astra Serif" w:hAnsi="PT Astra Serif" w:eastAsiaTheme="minorHAnsi"/>
          <w:spacing w:val="-6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pacing w:val="-6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по заключению счетов бюджетного учета отчетного финансового года </w:t>
      </w:r>
      <w:hyperlink r:id="rId30" w:tooltip="consultantplus://offline/main?base=LAW;n=108797;fld=134;dst=102219" w:history="1">
        <w:r>
          <w:rPr>
            <w:rFonts w:ascii="PT Astra Serif" w:hAnsi="PT Astra Serif"/>
            <w:szCs w:val="28"/>
          </w:rPr>
          <w:t xml:space="preserve">(ф. 0503110)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о суммах консолидируемых поступлений, подлежащих зачислению на счет бюджета (ф. 0503184);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outlineLvl w:val="1"/>
      </w:pPr>
      <w:r>
        <w:rPr>
          <w:rFonts w:ascii="PT Astra Serif" w:hAnsi="PT Astra Serif"/>
        </w:rPr>
        <w:t xml:space="preserve">Пояснительная записка к отчету об исполнении консолидированного бюджета </w:t>
      </w:r>
      <w:hyperlink r:id="rId31" w:tooltip="consultantplus://offline/ref=A573384E9CDCC5F94FB517D2472EF4238EB8F856FFA2C5CFC15336594A2B4D17F30A867983EFEF54PDH0O" w:history="1">
        <w:r>
          <w:rPr>
            <w:rFonts w:ascii="PT Astra Serif" w:hAnsi="PT Astra Serif"/>
          </w:rPr>
          <w:t xml:space="preserve">(ф. 0503360),</w:t>
        </w:r>
      </w:hyperlink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Cs w:val="28"/>
        </w:rPr>
        <w:t xml:space="preserve">включающую в себя текстовую часть, составляется в составе следующих разделов и форм отчетности:</w:t>
      </w:r>
      <w:r/>
    </w:p>
    <w:p>
      <w:pPr>
        <w:ind w:firstLine="709"/>
        <w:jc w:val="both"/>
        <w:tabs>
          <w:tab w:val="left" w:pos="851" w:leader="none"/>
        </w:tabs>
        <w:outlineLvl w:val="1"/>
      </w:pPr>
      <w:r>
        <w:rPr>
          <w:rFonts w:ascii="PT Astra Serif" w:hAnsi="PT Astra Serif"/>
          <w:szCs w:val="28"/>
        </w:rPr>
        <w:t xml:space="preserve">Раздел 1 «Организационная структура субъекта бюджетной отчетности»;</w:t>
      </w:r>
      <w:r/>
    </w:p>
    <w:p>
      <w:pPr>
        <w:ind w:firstLine="709"/>
        <w:jc w:val="both"/>
        <w:tabs>
          <w:tab w:val="left" w:pos="851" w:leader="none"/>
        </w:tabs>
        <w:outlineLvl w:val="1"/>
      </w:pPr>
      <w:r>
        <w:rPr>
          <w:rFonts w:ascii="PT Astra Serif" w:hAnsi="PT Astra Serif"/>
          <w:szCs w:val="28"/>
        </w:rPr>
        <w:t xml:space="preserve">Раздел 2 «Результаты деятельности субъекта бюджетной отчетности»;</w:t>
      </w:r>
      <w:r/>
    </w:p>
    <w:p>
      <w:pPr>
        <w:ind w:firstLine="709"/>
        <w:jc w:val="both"/>
        <w:tabs>
          <w:tab w:val="left" w:pos="851" w:leader="none"/>
        </w:tabs>
        <w:outlineLvl w:val="1"/>
      </w:pPr>
      <w:r>
        <w:rPr>
          <w:rFonts w:ascii="PT Astra Serif" w:hAnsi="PT Astra Serif"/>
          <w:szCs w:val="28"/>
        </w:rPr>
        <w:t xml:space="preserve">Раздел 3 «Анализ отчета об исполнении бюджета субъектом бюджетной отчетности»;</w:t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  <w:outlineLvl w:val="1"/>
      </w:pPr>
      <w:r>
        <w:rPr>
          <w:rFonts w:ascii="PT Astra Serif" w:hAnsi="PT Astra Serif"/>
          <w:szCs w:val="28"/>
        </w:rPr>
        <w:t xml:space="preserve">Раздел 4 «Анализ показателей бухгалтерской отчетности субъекта бюджетной отчетности», включающий: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tabs>
          <w:tab w:val="left" w:pos="851" w:leader="none"/>
        </w:tabs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 движении нефинансовых активов консолидированного бюджета </w:t>
      </w:r>
      <w:hyperlink r:id="rId32" w:tooltip="consultantplus://offline/ref=A573384E9CDCC5F94FB517D2472EF4238EB8F856FFA2C5CFC15336594A2B4D17F30A867983EFEE5EPDH6O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0503368)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lang w:eastAsia="en-US"/>
        </w:rPr>
      </w:pPr>
      <w:r>
        <w:rPr>
          <w:rFonts w:ascii="PT Astra Serif" w:hAnsi="PT Astra Serif" w:eastAsiaTheme="minorHAnsi"/>
          <w:spacing w:val="-6"/>
          <w:szCs w:val="28"/>
          <w:lang w:eastAsia="en-US"/>
        </w:rPr>
        <w:t xml:space="preserve">Сведения по дебиторской и кредиторской задолженности </w:t>
      </w:r>
      <w:hyperlink r:id="rId33" w:tooltip="consultantplus://offline/ref=A573384E9CDCC5F94FB517D2472EF4238EB8F856FFA2C5CFC15336594A2B4D17F30A867983EFE959PDH6O" w:history="1">
        <w:r>
          <w:rPr>
            <w:rFonts w:ascii="PT Astra Serif" w:hAnsi="PT Astra Serif" w:eastAsiaTheme="minorHAnsi"/>
            <w:spacing w:val="-6"/>
            <w:szCs w:val="28"/>
            <w:lang w:eastAsia="en-US"/>
          </w:rPr>
          <w:t xml:space="preserve">(ф. 0503169)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lang w:eastAsia="en-US"/>
        </w:rPr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по дебиторской и кредиторской задолженности (ф. 0503369);</w:t>
      </w:r>
      <w:r>
        <w:rPr>
          <w:rFonts w:ascii="PT Astra Serif" w:hAnsi="PT Astra Serif" w:eastAsiaTheme="minorHAnsi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 финансовых вложениях </w:t>
      </w:r>
      <w:hyperlink r:id="rId34" w:tooltip="consultantplus://offline/ref=A573384E9CDCC5F94FB517D2472EF4238EB8F856FFA2C5CFC15336594A2B4D17F30A867983EFE958PDH7O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0503371)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консолидированного бюджета </w:t>
      </w:r>
      <w:hyperlink r:id="rId35" w:tooltip="consultantplus://offline/ref=A573384E9CDCC5F94FB517D2472EF4238EB8F856FFA2C5CFC15336594A2B4D17F30A867983EFE958PDH0O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 0503372)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об изменении остатков валюты баланса консолидированного бюджета </w:t>
      </w:r>
      <w:hyperlink r:id="rId36" w:tooltip="consultantplus://offline/ref=A573384E9CDCC5F94FB517D2472EF4238EB8F856FFA2C5CFC15336594A2B4D17F30A867983EFE95BPDH3O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0503373)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 w:eastAsiaTheme="minorHAnsi"/>
          <w:szCs w:val="28"/>
          <w:lang w:eastAsia="en-US"/>
        </w:rPr>
      </w:pPr>
      <w:r>
        <w:rPr>
          <w:rFonts w:ascii="PT Astra Serif" w:hAnsi="PT Astra Serif" w:eastAsiaTheme="minorHAnsi"/>
          <w:szCs w:val="28"/>
          <w:lang w:eastAsia="en-US"/>
        </w:rPr>
        <w:t xml:space="preserve">Сведения об остатках денежных средств на счетах получателя бюджетных средств (ф. 0503378);</w:t>
      </w:r>
      <w:r>
        <w:rPr>
          <w:rFonts w:ascii="PT Astra Serif" w:hAnsi="PT Astra Serif" w:eastAsiaTheme="minorHAnsi"/>
          <w:szCs w:val="28"/>
          <w:lang w:eastAsia="en-US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</w:pPr>
      <w:r>
        <w:rPr>
          <w:rFonts w:ascii="PT Astra Serif" w:hAnsi="PT Astra Serif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37" w:tooltip="consultantplus://offline/ref=8F24DC8F679F72D42CB28132D46A48549F02CC3C4367EADE040D6D3FD8E5D6C7327A32140E38RBmFM" w:history="1">
        <w:r>
          <w:rPr>
            <w:rFonts w:ascii="PT Astra Serif" w:hAnsi="PT Astra Serif"/>
            <w:szCs w:val="28"/>
          </w:rPr>
          <w:t xml:space="preserve">(ф. 0503190)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</w:pPr>
      <w:r>
        <w:rPr>
          <w:rFonts w:ascii="PT Astra Serif" w:hAnsi="PT Astra Serif"/>
          <w:szCs w:val="28"/>
        </w:rPr>
        <w:t xml:space="preserve">Раздел 5 «Прочие вопросы деятельности субъекта бюджетной отчетности».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3. В составе годовой сводной бухгалтерской отчетности муниципальных бюджетных и автономных учреждений в министерство финансов области (далее – сводная бухгалтерская отчетность) представляются следующие формы отчетности: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Баланс государственного (муниципального) учреждения </w:t>
      </w:r>
      <w:hyperlink r:id="rId38" w:tooltip="consultantplus://offline/main?base=LAW;n=112540;fld=134;dst=100756" w:history="1">
        <w:r>
          <w:rPr>
            <w:rFonts w:ascii="PT Astra Serif" w:hAnsi="PT Astra Serif"/>
            <w:szCs w:val="28"/>
          </w:rPr>
          <w:t xml:space="preserve">(ф. 0503730)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по консолидируемым расчетам учреждения (ф. 0503725);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Справка по заключению учреждением счетов бухгалтерского учета отчетного финансового года </w:t>
      </w:r>
      <w:hyperlink r:id="rId39" w:tooltip="consultantplus://offline/main?base=LAW;n=112540;fld=134;dst=100600" w:history="1">
        <w:r>
          <w:rPr>
            <w:rFonts w:ascii="PT Astra Serif" w:hAnsi="PT Astra Serif"/>
            <w:szCs w:val="28"/>
          </w:rPr>
          <w:t xml:space="preserve">(ф. 0503710)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об исполнении учреждением плана его финансово-хозяйственной деятельности </w:t>
      </w:r>
      <w:hyperlink r:id="rId40" w:tooltip="consultantplus://offline/main?base=LAW;n=112540;fld=134;dst=100966" w:history="1">
        <w:r>
          <w:rPr>
            <w:rFonts w:ascii="PT Astra Serif" w:hAnsi="PT Astra Serif"/>
            <w:szCs w:val="28"/>
          </w:rPr>
          <w:t xml:space="preserve">(ф. 0503737)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об обязательствах учреждений (ф. 0503738);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/>
          <w:szCs w:val="28"/>
        </w:rPr>
        <w:t xml:space="preserve">Отчет о финансовых результатах деятельности учреждения </w:t>
      </w:r>
      <w:hyperlink r:id="rId41" w:tooltip="consultantplus://offline/main?base=LAW;n=112540;fld=134;dst=100614" w:history="1">
        <w:r>
          <w:rPr>
            <w:rFonts w:ascii="PT Astra Serif" w:hAnsi="PT Astra Serif"/>
            <w:szCs w:val="28"/>
          </w:rPr>
          <w:t xml:space="preserve">(ф. 0503721)</w:t>
        </w:r>
      </w:hyperlink>
      <w:r>
        <w:rPr>
          <w:rFonts w:ascii="PT Astra Serif" w:hAnsi="PT Astra Serif"/>
          <w:szCs w:val="28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1"/>
      </w:pPr>
      <w:r>
        <w:rPr>
          <w:rFonts w:ascii="PT Astra Serif" w:hAnsi="PT Astra Serif" w:eastAsiaTheme="minorHAnsi"/>
          <w:szCs w:val="28"/>
          <w:lang w:eastAsia="en-US"/>
        </w:rPr>
        <w:t xml:space="preserve">Отчет о движении денежных средств учреждения </w:t>
      </w:r>
      <w:hyperlink r:id="rId42" w:tooltip="consultantplus://offline/ref=A5AB675B30294652C3FD469CA259B4EA1FD9D062F5554166A057A1F09191A971DE9F50B0CB1268961Eu7I"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0503723)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  <w:outlineLvl w:val="1"/>
      </w:pPr>
      <w:r>
        <w:rPr>
          <w:rFonts w:ascii="PT Astra Serif" w:hAnsi="PT Astra Serif"/>
          <w:szCs w:val="28"/>
        </w:rPr>
        <w:t xml:space="preserve">Пояснительная записка к Балансу учреждения </w:t>
      </w:r>
      <w:hyperlink r:id="rId43" w:tooltip="consultantplus://offline/main?base=LAW;n=112540;fld=134;dst=101094" w:history="1">
        <w:r>
          <w:rPr>
            <w:rFonts w:ascii="PT Astra Serif" w:hAnsi="PT Astra Serif"/>
            <w:szCs w:val="28"/>
          </w:rPr>
          <w:t xml:space="preserve">(ф. 0503760)</w:t>
        </w:r>
      </w:hyperlink>
      <w:r>
        <w:rPr>
          <w:rFonts w:ascii="PT Astra Serif" w:hAnsi="PT Astra Serif"/>
          <w:szCs w:val="28"/>
        </w:rPr>
        <w:t xml:space="preserve"> в составе следующих форм отчетности: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Раздел 1 «Организационная структура учреждения»;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Раздел 2 «Результаты деятельности учреждения»;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Раздел 3 «Анализ отчета об исполнении учреждением плана его деятельности»;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Раздел 4 «Анализ показателей отчетности учреждения», включающий: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о движении нефинансовых активов учреждения (ф. 0503768);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по дебиторской и кредиторской задолженности учреждения (ф. 0503769);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о финансовых вложениях учреждения (ф. 0503771);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о суммах заимствований (ф. 0503772);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об изменениях остатков валюты баланса учреждения (ф. 0503773);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о принятых и неисполненных обязательствах (ф. 0503775);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об остатках денежных средств учреждения (ф. 0503779);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-2"/>
          <w:szCs w:val="28"/>
        </w:rPr>
        <w:t xml:space="preserve">Сведения об исполнении судебных решений по денежным обязательствам учреждения (ф. 0503295);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pacing w:val="2"/>
          <w:szCs w:val="28"/>
        </w:rPr>
        <w:t xml:space="preserve">Сведения о вложениях в объекты недвижимого имущества, об объектах незавершенного строительства бюджетного (автономного) учреждения (ф. 0503790);</w:t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pacing w:val="2"/>
        </w:rPr>
      </w:pPr>
      <w:r>
        <w:rPr>
          <w:rFonts w:ascii="PT Astra Serif" w:hAnsi="PT Astra Serif"/>
          <w:szCs w:val="28"/>
        </w:rPr>
        <w:t xml:space="preserve">Раздел 5 «Прочие вопросы деятельности учреждения</w:t>
      </w:r>
      <w:r>
        <w:rPr>
          <w:rFonts w:ascii="PT Astra Serif" w:hAnsi="PT Astra Serif"/>
          <w:szCs w:val="28"/>
        </w:rPr>
        <w:t xml:space="preserve">»</w:t>
      </w:r>
      <w:r>
        <w:rPr>
          <w:rFonts w:ascii="PT Astra Serif" w:hAnsi="PT Astra Serif"/>
          <w:szCs w:val="28"/>
        </w:rPr>
        <w:t xml:space="preserve">.</w:t>
      </w:r>
      <w:r/>
      <w:r>
        <w:rPr>
          <w:rFonts w:ascii="PT Astra Serif" w:hAnsi="PT Astra Serif"/>
          <w:spacing w:val="2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4. Годовая бюджетная отчетность об исполнении бюджета, годовая бюджетная отчетность об исполнении консолидированного бюджета, годовая сводная бухгалтерская отчетность представляется финансовыми органами муниципальных районов (городских</w:t>
      </w:r>
      <w:r>
        <w:rPr>
          <w:rFonts w:ascii="PT Astra Serif" w:hAnsi="PT Astra Serif"/>
          <w:szCs w:val="28"/>
        </w:rPr>
        <w:t xml:space="preserve"> и муниципального</w:t>
      </w:r>
      <w:r>
        <w:rPr>
          <w:rFonts w:ascii="PT Astra Serif" w:hAnsi="PT Astra Serif"/>
          <w:szCs w:val="28"/>
        </w:rPr>
        <w:t xml:space="preserve"> округов) области и Территориальным фондом обязательного медицинского страхования Саратовской области (далее – субъект отчетности) в отдел бюджетного учета и отчетности управления бюджетного учета и отчетности м</w:t>
      </w:r>
      <w:r>
        <w:rPr>
          <w:rFonts w:ascii="PT Astra Serif" w:hAnsi="PT Astra Serif"/>
          <w:szCs w:val="28"/>
        </w:rPr>
        <w:t xml:space="preserve">инистерства финансов области (далее – отдел бюджетного учета и отчетности) в сроки, установленные Приложением № 2 к настоящему Приказу, в виде электронного документа, подписанного электронной подписью, путем представления в программном комплексе Свод СМАРТ</w:t>
      </w:r>
      <w:r>
        <w:rPr>
          <w:rFonts w:ascii="PT Astra Serif" w:hAnsi="PT Astra Serif"/>
          <w:szCs w:val="28"/>
        </w:rPr>
        <w:t xml:space="preserve">.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Н</w:t>
      </w:r>
      <w:r>
        <w:rPr>
          <w:rFonts w:ascii="PT Astra Serif" w:hAnsi="PT Astra Serif"/>
          <w:szCs w:val="28"/>
        </w:rPr>
        <w:t xml:space="preserve">а бумажном носителе </w:t>
      </w:r>
      <w:r>
        <w:rPr>
          <w:rFonts w:ascii="PT Astra Serif" w:hAnsi="PT Astra Serif"/>
          <w:szCs w:val="28"/>
        </w:rPr>
        <w:t xml:space="preserve">г</w:t>
      </w:r>
      <w:r>
        <w:rPr>
          <w:rFonts w:ascii="PT Astra Serif" w:hAnsi="PT Astra Serif"/>
          <w:szCs w:val="28"/>
        </w:rPr>
        <w:t xml:space="preserve">одовая бюджетная отчетность об исполнении бюджета, годовая бюджетная отчетность об исполнении консолидированного бюджета, годовая сводная бухгалтерская отчетность представляется</w:t>
      </w:r>
      <w:r>
        <w:rPr>
          <w:rFonts w:ascii="PT Astra Serif" w:hAnsi="PT Astra Serif"/>
          <w:szCs w:val="28"/>
        </w:rPr>
        <w:t xml:space="preserve"> субъектами отчетности </w:t>
      </w:r>
      <w:r>
        <w:rPr>
          <w:rFonts w:ascii="PT Astra Serif" w:hAnsi="PT Astra Serif"/>
          <w:szCs w:val="28"/>
        </w:rPr>
        <w:t xml:space="preserve">в отдел бюджетного учета и отчетности управления бюджетного учета и отчетности министерства финансов области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в срок до </w:t>
      </w:r>
      <w:r>
        <w:rPr>
          <w:rFonts w:ascii="PT Astra Serif" w:hAnsi="PT Astra Serif"/>
          <w:szCs w:val="28"/>
        </w:rPr>
        <w:t xml:space="preserve">1</w:t>
      </w:r>
      <w:r>
        <w:rPr>
          <w:rFonts w:ascii="PT Astra Serif" w:hAnsi="PT Astra Serif"/>
          <w:szCs w:val="28"/>
        </w:rPr>
        <w:t xml:space="preserve">3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апреля </w:t>
      </w:r>
      <w:r>
        <w:rPr>
          <w:rFonts w:ascii="PT Astra Serif" w:hAnsi="PT Astra Serif"/>
          <w:szCs w:val="28"/>
        </w:rPr>
        <w:t xml:space="preserve">202</w:t>
      </w:r>
      <w:r>
        <w:rPr>
          <w:rFonts w:ascii="PT Astra Serif" w:hAnsi="PT Astra Serif"/>
          <w:szCs w:val="28"/>
        </w:rPr>
        <w:t xml:space="preserve">6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года.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5. При представлении в министерство финансов области годовой сводной бухгалт</w:t>
      </w:r>
      <w:r>
        <w:rPr>
          <w:rFonts w:ascii="PT Astra Serif" w:hAnsi="PT Astra Serif"/>
          <w:szCs w:val="28"/>
        </w:rPr>
        <w:t xml:space="preserve">ерской отчетности муниципальных бюджетных и автономных учреждений в электронном виде, необходимо руководствоваться действующими требованиями к форматам и способам передачи в электронном виде бухгалтерской отчетности, утвержденных Федеральным казначейством.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6. В соответствии с приказом Министерства финансов Российской Федерации от 1 сентября 2021 года № 120н «Об</w:t>
      </w:r>
      <w:r>
        <w:rPr>
          <w:rFonts w:ascii="PT Astra Serif" w:hAnsi="PT Astra Serif"/>
          <w:szCs w:val="28"/>
        </w:rPr>
        <w:t xml:space="preserve"> утверждении 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</w:t>
      </w:r>
      <w:r>
        <w:rPr>
          <w:rFonts w:ascii="PT Astra Serif" w:hAnsi="PT Astra Serif"/>
          <w:szCs w:val="28"/>
        </w:rPr>
        <w:t xml:space="preserve">оставления, представления и утверждения бюджетной отчетности» и о внесении изменений в некоторые приказы Министерства финансов Российской Федерации по вопросам осуществления внутреннего финансового аудита» субъекты бюджетной отчетности обязаны иметь заключ</w:t>
      </w:r>
      <w:r>
        <w:rPr>
          <w:rFonts w:ascii="PT Astra Serif" w:hAnsi="PT Astra Serif"/>
          <w:szCs w:val="28"/>
        </w:rPr>
        <w:t xml:space="preserve">ения внутреннего финансового аудита, подтверждающего достоверность индивидуальной годовой бюджетной отчетности получателя бюджетных средств (администратора доходов бюджета, администратора источников финансирования дефицита бюджета), главного распорядителя </w:t>
      </w:r>
      <w:r>
        <w:rPr>
          <w:rFonts w:ascii="PT Astra Serif" w:hAnsi="PT Astra Serif"/>
          <w:szCs w:val="28"/>
        </w:rPr>
        <w:t xml:space="preserve">бюджетных средств как получателя бюджетных средств, а также подтверждающего соблюдение порядка составления и представле</w:t>
      </w:r>
      <w:r>
        <w:rPr>
          <w:rFonts w:ascii="PT Astra Serif" w:hAnsi="PT Astra Serif"/>
          <w:szCs w:val="28"/>
        </w:rPr>
        <w:t xml:space="preserve">ния консолидированной бюджетной отчетности. Сведения о проведенном внутреннем финансовом аудите должны быть отражены в текстовой части Пояснительной записки (ф. 0503160) (Пояснительной записки к отчету об исполнении консолидированного бюджета (ф. 0503360).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pacing w:val="-6"/>
          <w:szCs w:val="28"/>
        </w:rPr>
        <w:t xml:space="preserve">7. </w:t>
      </w:r>
      <w:r>
        <w:rPr>
          <w:rFonts w:ascii="PT Astra Serif" w:hAnsi="PT Astra Serif"/>
          <w:szCs w:val="28"/>
        </w:rPr>
        <w:t xml:space="preserve">Годовая бюджетная отчетность об исполнении бюджета, годовая бюджетная отчетность об исполнении консолидированного бюджета, годовая сводная бухгалтерская отчетность</w:t>
      </w:r>
      <w:r>
        <w:rPr>
          <w:rFonts w:ascii="PT Astra Serif" w:hAnsi="PT Astra Serif"/>
          <w:spacing w:val="-6"/>
          <w:szCs w:val="28"/>
        </w:rPr>
        <w:t xml:space="preserve"> в виде электронного документа, считается представленной при изменении в программном комплексе статуса документов отчетности на «Готов к проверке».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8. О</w:t>
      </w:r>
      <w:r>
        <w:rPr>
          <w:rFonts w:ascii="PT Astra Serif" w:hAnsi="PT Astra Serif"/>
          <w:szCs w:val="28"/>
        </w:rPr>
        <w:t xml:space="preserve">тветственный специалист отдела бюджетного учета и отчетности (далее – Куратор) не позднее одного рабочего дня, следующего за днем получения годовой бюджетной отчетности об исполнении бюджета, годовой бюджетной отчетности об исполнении консолидированного бю</w:t>
      </w:r>
      <w:r>
        <w:rPr>
          <w:rFonts w:ascii="PT Astra Serif" w:hAnsi="PT Astra Serif"/>
          <w:szCs w:val="28"/>
        </w:rPr>
        <w:t xml:space="preserve">джета, годовой сводной бухгалтерской отчетности от субъекта отчетности, уведомляет его в электронном виде о ее получении путем формирования уведомления о получении отчетности с указанием информации о дате получения и полноте представления форм отчетности. 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 случае отсутствия организационно-технической возможности у суб</w:t>
      </w:r>
      <w:r>
        <w:rPr>
          <w:rFonts w:ascii="PT Astra Serif" w:hAnsi="PT Astra Serif"/>
          <w:szCs w:val="28"/>
        </w:rPr>
        <w:t xml:space="preserve">ъекта отчетности формирования годовой бюджетной отчетности об исполнении бюджета, годовой бюджетной отчетности об исполнении консолидированного бюджета, годовой сводной бухгалтерской отчетности в виде электронного документа, такая отчетность формируется на</w:t>
      </w:r>
      <w:r>
        <w:rPr>
          <w:rFonts w:ascii="PT Astra Serif" w:hAnsi="PT Astra Serif"/>
          <w:szCs w:val="28"/>
        </w:rPr>
        <w:t xml:space="preserve"> бумажном носителе и при представлении ее в отдел бюджетного учета и отчетности  Куратор делает на бумажных носителях отметку: «Бухгалтерская отчетность принята к рассмотрению» с указанием даты, полноты представленных форм, должности и расшифровки подписи </w:t>
      </w:r>
      <w:r>
        <w:rPr>
          <w:rFonts w:ascii="PT Astra Serif" w:hAnsi="PT Astra Serif"/>
          <w:szCs w:val="28"/>
        </w:rPr>
        <w:t xml:space="preserve">Куратора.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9. Представленн</w:t>
      </w:r>
      <w:r>
        <w:rPr>
          <w:rFonts w:ascii="PT Astra Serif" w:hAnsi="PT Astra Serif"/>
          <w:szCs w:val="28"/>
        </w:rPr>
        <w:t xml:space="preserve">ая в министерство финансов области годовая бюджетная отчетность об исполнении бюджета, годовая бюджетная отчетность об исполнении консолидированного бюджета, годовая сводная бухгалтерская отчетность проходит проверку на соответствие требованиям к ее состав</w:t>
      </w:r>
      <w:r>
        <w:rPr>
          <w:rFonts w:ascii="PT Astra Serif" w:hAnsi="PT Astra Serif"/>
          <w:szCs w:val="28"/>
        </w:rPr>
        <w:t xml:space="preserve">лению и представлению, установленным приказами Министерства финансов Российской Федерации от 28 декабря 2010 года № 191н «Об утверждении Инструкции о порядке составления и представления годовой, квартальной и месячной отчетности об исполнении бюджетов бюдж</w:t>
      </w:r>
      <w:r>
        <w:rPr>
          <w:rFonts w:ascii="PT Astra Serif" w:hAnsi="PT Astra Serif"/>
          <w:szCs w:val="28"/>
        </w:rPr>
        <w:t xml:space="preserve">етной системы Российской Федерации» (далее – Инструкция № 191н),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</w:t>
      </w:r>
      <w:r>
        <w:rPr>
          <w:rFonts w:ascii="PT Astra Serif" w:hAnsi="PT Astra Serif"/>
          <w:szCs w:val="28"/>
        </w:rPr>
        <w:t xml:space="preserve">х учреждений» (далее – Инструкция № 33н) и настоящими Указаниями путем выверки показателей по установленным соответственно Министерством финансов Российской Федерации и министерством финансов области контрольным соотношениям (далее – камеральная проверка).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  <w:outlineLvl w:val="0"/>
      </w:pPr>
      <w:r>
        <w:rPr>
          <w:rFonts w:ascii="PT Astra Serif" w:hAnsi="PT Astra Serif"/>
          <w:szCs w:val="28"/>
        </w:rPr>
        <w:t xml:space="preserve">10. В случае выявления в ходе проведения камеральной пров</w:t>
      </w:r>
      <w:r>
        <w:rPr>
          <w:rFonts w:ascii="PT Astra Serif" w:hAnsi="PT Astra Serif"/>
          <w:szCs w:val="28"/>
        </w:rPr>
        <w:t xml:space="preserve">ерки несоответствия требованиям к составлению и представлению годовой бюджетной отчетности об исполнении бюджета, годовой бюджетной отчетности об исполнении консолидированного бюджета, годовой сводной бухгалтерской отчетности до субъекта отчетности, не поз</w:t>
      </w:r>
      <w:r>
        <w:rPr>
          <w:rFonts w:ascii="PT Astra Serif" w:hAnsi="PT Astra Serif"/>
          <w:szCs w:val="28"/>
        </w:rPr>
        <w:t xml:space="preserve">днее одного рабочего дня, следующего за днем выявления несоответствия, доводится в устной (письменной) или в форме Уведомления о наличии недопустимых внутридокументных соотношениях, Уведомления о наличии недопустимых междокументных контрольных соотношениях</w:t>
      </w:r>
      <w:r>
        <w:rPr>
          <w:rFonts w:ascii="PT Astra Serif" w:hAnsi="PT Astra Serif"/>
          <w:szCs w:val="28"/>
        </w:rPr>
        <w:t xml:space="preserve">  (далее - уведомление о наличии недопустимых контрольных  соотношениях)  в программном комплексе Свод СМАРТ, который в свою очередь, обязан в течение одного рабочего дня принять меры для приведения отчетности в соответствие с установленными требованиями. 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  <w:tab w:val="left" w:pos="1139" w:leader="none"/>
        </w:tabs>
        <w:rPr>
          <w:rFonts w:ascii="PT Astra Serif" w:hAnsi="PT Astra Serif"/>
          <w:spacing w:val="-8"/>
          <w:szCs w:val="28"/>
        </w:rPr>
      </w:pPr>
      <w:r>
        <w:rPr>
          <w:rFonts w:ascii="PT Astra Serif" w:hAnsi="PT Astra Serif"/>
          <w:szCs w:val="28"/>
        </w:rPr>
        <w:t xml:space="preserve">11. Годовая бюджетная отчетность об исполнении б</w:t>
      </w:r>
      <w:r>
        <w:rPr>
          <w:rFonts w:ascii="PT Astra Serif" w:hAnsi="PT Astra Serif"/>
          <w:szCs w:val="28"/>
        </w:rPr>
        <w:t xml:space="preserve">юджета, годовая бюджетная отчетность об исполнении консолидированного бюджета, годовая сводная бухгалтерская отчетность, содержащая исправления по результатам камеральной проверки, представляется субъектом отчетности с сопроводительным письмом, подписанным</w:t>
      </w:r>
      <w:r>
        <w:rPr>
          <w:rFonts w:ascii="PT Astra Serif" w:hAnsi="PT Astra Serif"/>
          <w:szCs w:val="28"/>
        </w:rPr>
        <w:t xml:space="preserve"> руководителем субъекта отчетности или уполномоченным им лицом, содержащим указания о внесенных изменениях на бумажном носителе и (или) в виде электронного документа, подписанного электронной подписью, путем передачи по телекоммуникационным каналам связи. </w:t>
      </w:r>
      <w:r>
        <w:rPr>
          <w:rFonts w:ascii="PT Astra Serif" w:hAnsi="PT Astra Serif"/>
          <w:spacing w:val="-8"/>
          <w:szCs w:val="28"/>
        </w:rPr>
        <w:t xml:space="preserve">Указанное сопроводительное письмо прикладывается в программном комплексе Свод СМАРТ к уведомлению о наличии недопустимых контрольных соотношениях в форме вложенного файла.</w:t>
      </w:r>
      <w:r>
        <w:rPr>
          <w:rFonts w:ascii="PT Astra Serif" w:hAnsi="PT Astra Serif"/>
          <w:spacing w:val="-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Cs w:val="28"/>
        </w:rPr>
      </w:pPr>
      <w:r>
        <w:rPr>
          <w:rFonts w:ascii="PT Astra Serif" w:hAnsi="PT Astra Serif"/>
          <w:spacing w:val="-8"/>
          <w:szCs w:val="28"/>
        </w:rPr>
        <w:t xml:space="preserve">12. В случае, если </w:t>
      </w:r>
      <w:r>
        <w:rPr>
          <w:rFonts w:ascii="PT Astra Serif" w:hAnsi="PT Astra Serif"/>
          <w:szCs w:val="28"/>
        </w:rPr>
        <w:t xml:space="preserve">по прошествии одного рабочего дня после формирования уведомления о наличии недопустимых контрольных  соотношениях указан</w:t>
      </w:r>
      <w:r>
        <w:rPr>
          <w:rFonts w:ascii="PT Astra Serif" w:hAnsi="PT Astra Serif"/>
          <w:szCs w:val="28"/>
        </w:rPr>
        <w:t xml:space="preserve">ные в нем нарушения не устранены и (или) форма (формы) годовой отчетности об исполнении бюджета, сводной бухгалтерской отчетности  остается (остаются) в статусе «На доработку» или «Редактирование» в уведомлении делается отметка, что нарушение не устранено.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pacing w:val="-8"/>
          <w:szCs w:val="28"/>
        </w:rPr>
      </w:pPr>
      <w:r>
        <w:rPr>
          <w:rFonts w:ascii="PT Astra Serif" w:hAnsi="PT Astra Serif"/>
          <w:spacing w:val="-8"/>
          <w:szCs w:val="28"/>
        </w:rPr>
        <w:t xml:space="preserve">В случае устранения нарушения Куратором вносится в уведомление о наличии недопустимых контрольных соотношениях отметка об устранении нарушения с указанием даты и времени перевода формы (форм) г</w:t>
      </w:r>
      <w:r>
        <w:rPr>
          <w:rFonts w:ascii="PT Astra Serif" w:hAnsi="PT Astra Serif"/>
          <w:szCs w:val="28"/>
        </w:rPr>
        <w:t xml:space="preserve">одовой бюджетной отчетности об исполнении бюджета, годовой бюджетной отчетности об исполнении консолидированного бюджета, годовой сводной бухгалтерской отчетности</w:t>
      </w:r>
      <w:r>
        <w:rPr>
          <w:rFonts w:ascii="PT Astra Serif" w:hAnsi="PT Astra Serif"/>
          <w:spacing w:val="-8"/>
          <w:szCs w:val="28"/>
        </w:rPr>
        <w:t xml:space="preserve"> в статус «Готов к проверке».</w:t>
      </w:r>
      <w:r>
        <w:rPr>
          <w:rFonts w:ascii="PT Astra Serif" w:hAnsi="PT Astra Serif"/>
          <w:spacing w:val="-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13. По результатам проведения камеральной проверки отчетность, представленная </w:t>
      </w:r>
      <w:r>
        <w:rPr>
          <w:rFonts w:ascii="PT Astra Serif" w:hAnsi="PT Astra Serif"/>
          <w:szCs w:val="28"/>
        </w:rPr>
        <w:t xml:space="preserve">в виде электронного документа и подписанного электронной подписью, считается принятой при изменении в программе статуса документов отчетности на «Утвержден»,  после чего до субъекта отчетности доводится уведомление о принятии отчетности в письменной форме.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hd w:val="clear" w:color="auto" w:fill="ffffff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14. Представленная годовая бюджетная отчетность об исполнении бюджета, годовая бюджетная отчетность об исполнении консолидированного </w:t>
      </w:r>
      <w:r>
        <w:rPr>
          <w:rFonts w:ascii="PT Astra Serif" w:hAnsi="PT Astra Serif"/>
          <w:szCs w:val="28"/>
        </w:rPr>
        <w:t xml:space="preserve">бюджета, годовая сводная бухгалтерская отчетность должна быть проверена специалистами отраслевых отделов министерства финансов области.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15. При подготовке форм годовой бюджетной отчетности об исполнении бюджета, годовой бюджетной отчетности об исполнении консолидированного бюджета, годовой сводной бухгалтерской отчетности необходимо учесть следующее: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15.1. Справка по консолидируемым расчетам ф. 0503125 (далее – Справка (ф. 0503125)) составляется по счетам в соответствии с пунктом 23 Инструкции </w:t>
      </w:r>
      <w:r>
        <w:rPr>
          <w:rFonts w:ascii="PT Astra Serif" w:hAnsi="PT Astra Serif"/>
          <w:szCs w:val="28"/>
        </w:rPr>
        <w:t xml:space="preserve">№ </w:t>
      </w:r>
      <w:r>
        <w:rPr>
          <w:rFonts w:ascii="PT Astra Serif" w:hAnsi="PT Astra Serif"/>
          <w:szCs w:val="28"/>
        </w:rPr>
        <w:t xml:space="preserve">191н с учетом следующих особенностей: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Консолидируемые расчеты по безвозмездным межбюджетным неденежным передачам капитально</w:t>
      </w:r>
      <w:r>
        <w:rPr>
          <w:rFonts w:ascii="PT Astra Serif" w:hAnsi="PT Astra Serif"/>
          <w:szCs w:val="28"/>
        </w:rPr>
        <w:t xml:space="preserve">го характера отражаются в Справке (ф. 0503125) по коду счета 1 401 20 254 «Расходы на перечисления капитального характера другим бюджетам бюджетной системы Российской Федерации», формируемой в порядке, аналогичном для формирования Справки (ф. 0503125) по к</w:t>
      </w:r>
      <w:r>
        <w:rPr>
          <w:rFonts w:ascii="PT Astra Serif" w:hAnsi="PT Astra Serif"/>
          <w:szCs w:val="28"/>
        </w:rPr>
        <w:t xml:space="preserve">оду счета 1 401 20 251 согласно пункту 29.1 Инструкции № 191н, с учетом пункта 7 Порядка применения классификации операций сектора государственного управления, утвержденного приказом Министерства финансов Российской Федерации от 29 ноября 2017 года № 209н.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Показатели </w:t>
      </w:r>
      <w:hyperlink r:id="rId44" w:tooltip="consultantplus://offline/ref=0F12C91E1DE7A5371F2A660F3AA35F3FDF086B631CB69ED20F413087B66ECADF0A03C78CB01288CC3BA3I" w:history="1">
        <w:r>
          <w:rPr>
            <w:rFonts w:ascii="PT Astra Serif" w:hAnsi="PT Astra Serif"/>
            <w:szCs w:val="28"/>
          </w:rPr>
          <w:t xml:space="preserve">Справки (ф. 0503125</w:t>
        </w:r>
      </w:hyperlink>
      <w:r>
        <w:rPr>
          <w:rFonts w:ascii="PT Astra Serif" w:hAnsi="PT Astra Serif"/>
          <w:szCs w:val="28"/>
        </w:rPr>
        <w:t xml:space="preserve">) по счет</w:t>
      </w:r>
      <w:r>
        <w:rPr>
          <w:rFonts w:ascii="PT Astra Serif" w:hAnsi="PT Astra Serif"/>
          <w:szCs w:val="28"/>
        </w:rPr>
        <w:t xml:space="preserve">у 0 304 06 000 «Расчеты с прочими кредиторами» должны быть выверены с показателями Справки по консолидируемым расчетам ф. 0503725 соответствующих муниципальных государственных бюджетных и автономных учреждений в части проведения операций по изменению типа </w:t>
      </w:r>
      <w:r>
        <w:rPr>
          <w:rFonts w:ascii="PT Astra Serif" w:hAnsi="PT Astra Serif" w:eastAsiaTheme="minorHAnsi"/>
          <w:szCs w:val="28"/>
          <w:lang w:eastAsia="en-US"/>
        </w:rPr>
        <w:t xml:space="preserve">муниципальных казенных учреждений на бюджетные, автономные учреждения в течение отчетного периода, а также в части бухгалтерских операций при изменении типа муниципальных бюджетных, автономных учреждений на казенные учреждения в течение отчетного периода.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pacing w:val="-6"/>
          <w:szCs w:val="28"/>
        </w:rPr>
      </w:pPr>
      <w:r>
        <w:rPr>
          <w:rFonts w:ascii="PT Astra Serif" w:hAnsi="PT Astra Serif"/>
          <w:spacing w:val="-6"/>
          <w:szCs w:val="28"/>
        </w:rPr>
        <w:t xml:space="preserve">Данные, отраженные в Справках (ф. 0503125), представляются в отдел бюджетного учета и отчетности только при обеспечении соответствия взаимосвязанных показателей Справки (ф. 0503125) с другими участниками консолидированных расчетов.</w:t>
      </w:r>
      <w:r>
        <w:rPr>
          <w:rFonts w:ascii="PT Astra Serif" w:hAnsi="PT Astra Serif"/>
          <w:spacing w:val="-6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 случае выявления Куратором несоответствия данных в предоставленных на проверку Справках (ф. 0503125) в части определения в</w:t>
      </w:r>
      <w:r>
        <w:rPr>
          <w:rFonts w:ascii="PT Astra Serif" w:hAnsi="PT Astra Serif"/>
          <w:szCs w:val="28"/>
        </w:rPr>
        <w:t xml:space="preserve">заимосвязанных показателей по денежным расчетам, неденежным расчетам и по передаче нефинансовых активов финансовый орган муниципального района (городского округа) обязан предоставить акты сверки приема (передачи) нефинансовых активов, подписанные передающе</w:t>
      </w:r>
      <w:r>
        <w:rPr>
          <w:rFonts w:ascii="PT Astra Serif" w:hAnsi="PT Astra Serif"/>
          <w:szCs w:val="28"/>
        </w:rPr>
        <w:t xml:space="preserve">й и принимающей сторонами, а также Уведомление по расчетам между бюджетами (код формы по ОКУД 0504817) и (или) Извещение (код формы по ОКУД 0504805), и (или) Извещение о трансферте, передаваемом с условием (код формы по ОКУД 0510453) в электронном виде на </w:t>
      </w:r>
      <w:r>
        <w:rPr>
          <w:rFonts w:ascii="PT Astra Serif" w:hAnsi="PT Astra Serif"/>
          <w:szCs w:val="28"/>
        </w:rPr>
        <w:t xml:space="preserve">электронны</w:t>
      </w:r>
      <w:r>
        <w:rPr>
          <w:rFonts w:ascii="PT Astra Serif" w:hAnsi="PT Astra Serif"/>
          <w:szCs w:val="28"/>
        </w:rPr>
        <w:t xml:space="preserve">й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адрес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Куратор</w:t>
      </w:r>
      <w:r>
        <w:rPr>
          <w:rFonts w:ascii="PT Astra Serif" w:hAnsi="PT Astra Serif"/>
          <w:szCs w:val="28"/>
        </w:rPr>
        <w:t xml:space="preserve">а</w:t>
      </w:r>
      <w:r>
        <w:rPr>
          <w:rFonts w:ascii="PT Astra Serif" w:hAnsi="PT Astra Serif"/>
          <w:szCs w:val="28"/>
        </w:rPr>
        <w:t xml:space="preserve">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15.2. Сведения о вложениях в объекты недвижимого имущества, объектах незавершенного строительства </w:t>
      </w:r>
      <w:hyperlink r:id="rId45" w:tooltip="consultantplus://offline/ref=8F24DC8F679F72D42CB28132D46A48549F02CC3C4367EADE040D6D3FD8E5D6C7327A32140E38RBmFM" w:history="1">
        <w:r>
          <w:rPr>
            <w:rFonts w:ascii="PT Astra Serif" w:hAnsi="PT Astra Serif"/>
            <w:szCs w:val="28"/>
          </w:rPr>
          <w:t xml:space="preserve">(ф. 0503190)</w:t>
        </w:r>
      </w:hyperlink>
      <w:r>
        <w:rPr>
          <w:rFonts w:ascii="PT Astra Serif" w:hAnsi="PT Astra Serif"/>
          <w:szCs w:val="28"/>
        </w:rPr>
        <w:t xml:space="preserve"> (далее – Сведения (ф. 0503190)) формируются в порядке установленном пунктом 173.1 Инструкции № 191н с соблюдением установленных контрольных соотношений.</w:t>
      </w:r>
      <w:r>
        <w:rPr>
          <w:rFonts w:ascii="PT Astra Serif" w:hAnsi="PT Astra Serif"/>
          <w:szCs w:val="28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15.3. Сведения по дебиторской и кредиторской задолженности (ф. 0503169) (далее – Сведения (ф. 0503169)) формируются согласно пункту 167 Инструкции № 191н.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Сведениях (ф. 0503169) операци</w:t>
      </w:r>
      <w:r>
        <w:rPr>
          <w:rFonts w:ascii="PT Astra Serif" w:hAnsi="PT Astra Serif"/>
        </w:rPr>
        <w:t xml:space="preserve">и по уточнению кодов бюджетной классификации расчетов текущего финансового года отражаются со знаком «минус» по уточняемому коду и со знаком «плюс» по уточненному коду в графе 5 (в части расходов, перечисленных в виде погашения кредиторской задолженности).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Отражение показателей со знаком «минус» в графах 5 - 8 раздела 1 Сведений (ф. 0503169) допускается только по операциям уточнения </w:t>
      </w:r>
      <w:r>
        <w:rPr>
          <w:rFonts w:ascii="PT Astra Serif" w:hAnsi="PT Astra Serif"/>
        </w:rPr>
        <w:t xml:space="preserve">в текущем финансовом году ранее признанных в учете оценочных значений. Информация по данным показателям раскрывается в текстовой части Раздела 4 «Анализ показателей бухгалтерской отчетности субъекта бюджетной отчетности» Пояснительной записки (ф. 0503160).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Показатель по счету 1 206 41</w:t>
      </w:r>
      <w:r>
        <w:rPr>
          <w:rFonts w:ascii="PT Astra Serif" w:hAnsi="PT Astra Serif"/>
        </w:rPr>
        <w:t xml:space="preserve"> 000 «Расчеты по авансовым безвозмездным перечислениям текущего характера государственным (муниципальным) учреждениям» (КВР 611, 621) Сведений (ф. 0503169) выверяется на соответствие разницы показателей сводных Сведений по дебиторской и кредиторской задолж</w:t>
      </w:r>
      <w:r>
        <w:rPr>
          <w:rFonts w:ascii="PT Astra Serif" w:hAnsi="PT Astra Serif"/>
        </w:rPr>
        <w:t xml:space="preserve">енности учреждения (ф. 0503769) (далее – Сведения (ф. 0503769): остатка по кредиту счета 4 401 4Х 131 «Доходы будущих периодов от оказания платных услуг (работ)» и остатка по дебету счета 4 205 31 000 «Расчеты по доходам от оказания платных услуг (работ)».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Показатель по счету 1 206 41 000 «Расчеты по авансовым безвозмездным перечислениям текущего характера государственным (муниципальным) учреждениям» (1 206 81 000 «Расчеты по авансовым безвозмездным перечислениям капитального характера государствен</w:t>
      </w:r>
      <w:r>
        <w:rPr>
          <w:rFonts w:ascii="PT Astra Serif" w:hAnsi="PT Astra Serif"/>
        </w:rPr>
        <w:t xml:space="preserve">ным (муниципальным) учреждениям» (КВР 612, 622) Сведений (ф. 0503169) выверяется на соответствие разницы показателей остатка по кредиту счета 5 401 4Х 152 «Доходы будущих периодов от поступлений текущего характера бюджетным и автономным учреждениям от сект</w:t>
      </w:r>
      <w:r>
        <w:rPr>
          <w:rFonts w:ascii="PT Astra Serif" w:hAnsi="PT Astra Serif"/>
        </w:rPr>
        <w:t xml:space="preserve">ора государственного управления» (5 401 4Х 162 «Доходы будущих периодов от поступлений капитального характера бюджетным и автономным учреждениям от сектора государственного управления») сводных Сведений (ф. 0503769) и остатка по дебету счета 5 205 52 000 «</w:t>
      </w:r>
      <w:r>
        <w:rPr>
          <w:rFonts w:ascii="PT Astra Serif" w:hAnsi="PT Astra Serif"/>
        </w:rPr>
        <w:t xml:space="preserve">Расчеты по поступлениям текущего характера бюджетным и автономным учреждениям от сектора государственного управления» (5 205 62 000 «Расчеты по поступлениям капитального характера бюджетным и автономным учреждениям от сектора государственного управления»).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Показатель по счету 1 206 73 000 «Расчеты по авансам </w:t>
      </w:r>
      <w:r>
        <w:rPr>
          <w:rFonts w:ascii="PT Astra Serif" w:hAnsi="PT Astra Serif"/>
        </w:rPr>
        <w:t xml:space="preserve">на приобретение акций и по иным формам участия в капитале» (КВР 464, 465) Сведений (ф. 0503169) выверяется на соответствие разницы показателей сводных Сведений (ф. 0503769): остатка по кредиту счета 6 401 4Х 162 «Доходы будущих периодов от поступлений капи</w:t>
      </w:r>
      <w:r>
        <w:rPr>
          <w:rFonts w:ascii="PT Astra Serif" w:hAnsi="PT Astra Serif"/>
        </w:rPr>
        <w:t xml:space="preserve">тального характера бюджетным и автономным учреждениям от сектора государственного управления» и остатка по дебету счета 6 205 62 000 «Расчеты по поступлениям капитального характера бюджетным и автономным учреждениям от сектора государственного управления».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 этом сформированны</w:t>
      </w:r>
      <w:r>
        <w:rPr>
          <w:rFonts w:ascii="PT Astra Serif" w:hAnsi="PT Astra Serif"/>
        </w:rPr>
        <w:t xml:space="preserve">е учредителями муниципальных автономных и бюджетных учреждений показатели </w:t>
      </w:r>
      <w:r>
        <w:rPr>
          <w:rFonts w:ascii="PT Astra Serif" w:hAnsi="PT Astra Serif"/>
        </w:rPr>
        <w:t xml:space="preserve"> на 1 января 202</w:t>
      </w:r>
      <w:r>
        <w:rPr>
          <w:rFonts w:ascii="PT Astra Serif" w:hAnsi="PT Astra Serif"/>
        </w:rPr>
        <w:t xml:space="preserve">6</w:t>
      </w:r>
      <w:r>
        <w:rPr>
          <w:rFonts w:ascii="PT Astra Serif" w:hAnsi="PT Astra Serif"/>
        </w:rPr>
        <w:t xml:space="preserve"> года</w:t>
      </w:r>
      <w:r>
        <w:rPr>
          <w:rFonts w:ascii="PT Astra Serif" w:hAnsi="PT Astra Serif"/>
        </w:rPr>
        <w:t xml:space="preserve"> по дебету счетов 1 206 41 000 «Расчеты по авансовым безвозмездным перечислениям текущего характера государственным (муниципальным) учреждениям» (КВР 611, 612, </w:t>
      </w:r>
      <w:r>
        <w:rPr>
          <w:rFonts w:ascii="PT Astra Serif" w:hAnsi="PT Astra Serif"/>
        </w:rPr>
        <w:t xml:space="preserve">621, 622), 1 206 73 000 «Расчеты по авансам на приобретение акций и по иным формам участия в капитале» (КВР 464, 465), 1 206 81 000 «Расчеты по авансовым безвозмездным перечислениям капитального характера государственным (муниципальным) учреждениям» (КВР 6</w:t>
      </w:r>
      <w:r>
        <w:rPr>
          <w:rFonts w:ascii="PT Astra Serif" w:hAnsi="PT Astra Serif"/>
        </w:rPr>
        <w:t xml:space="preserve">12, 622) подлежат отражению на соответствующих счетах аналитического учета счета 1 205 00 000 в сумме начисленной задолженности по возврату в бюджет неиспользованных остатков целевых субсидий прошлых лет в соответствии с Инструкцией № 162н в отчетности за </w:t>
      </w:r>
      <w:r>
        <w:rPr>
          <w:rFonts w:ascii="PT Astra Serif" w:hAnsi="PT Astra Serif"/>
        </w:rPr>
        <w:t xml:space="preserve">202</w:t>
      </w:r>
      <w:r>
        <w:rPr>
          <w:rFonts w:ascii="PT Astra Serif" w:hAnsi="PT Astra Serif"/>
        </w:rPr>
        <w:t xml:space="preserve">5</w:t>
      </w:r>
      <w:bookmarkStart w:id="29" w:name="_GoBack"/>
      <w:r/>
      <w:bookmarkEnd w:id="29"/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год.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Раздел 2 Сведений (ф. 0503169) заполняется в разрезе контрагентов с указанием в графе 1 номера счета бюджетного учета (3 знака – АДМ, 17 знаков – КБК, 9 знаков – код счета бюджетного учета), соответствующего отраженному в 1 разделе Сведений (ф. 0503169).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В графах 3 – 4 раздела 2 отр</w:t>
      </w:r>
      <w:r>
        <w:rPr>
          <w:rFonts w:ascii="PT Astra Serif" w:hAnsi="PT Astra Serif"/>
        </w:rPr>
        <w:t xml:space="preserve">ажается (в формате «ММ.ГГГГ»)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В графах 5, 6 указывается идентификационный номер налогоплательщика (ИНН) кредитора (дебитора), а также наименование кредитора</w:t>
      </w:r>
      <w:r>
        <w:rPr>
          <w:rFonts w:ascii="PT Astra Serif" w:hAnsi="PT Astra Serif"/>
        </w:rPr>
        <w:t xml:space="preserve"> (дебитора) соответственно. Показатели расчетов по задолженности с физическими лицами, индивидуальными предпринимателями подлежат обобщению. При этом в графе 5 указывается значение «0000000000», в графе 6 – «ФИЗИЧЕСКОЕ ЛИЦО/ИНДИВИДУАЛЬНЫЙ ПРЕДПРИНИМАТЕЛЬ».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В графах 7, 8 указываются причины образования </w:t>
      </w:r>
      <w:r>
        <w:rPr>
          <w:rFonts w:ascii="PT Astra Serif" w:hAnsi="PT Astra Serif"/>
        </w:rPr>
        <w:t xml:space="preserve">просроченной дебиторской, кредиторской задолженности субъекта бюджетной отчетности согласно перечню кодов и наименований причин, повлиявших на образование просроченной дебиторской (кредиторской) задолженности, установленному пунктом 167 Инструкции № 191н. 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Иные причины возникновения кредиторской и дебиторской задолженности подробно раскрываются в текстовой части Пояснительной </w:t>
      </w:r>
      <w:r>
        <w:rPr>
          <w:rFonts w:ascii="PT Astra Serif" w:hAnsi="PT Astra Serif"/>
        </w:rPr>
        <w:t xml:space="preserve">записки (ф. 0503160) (Пояснительной записки к отчету об исполнении консолидированного бюджета (ф. 0503360).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</w:rPr>
      </w:pPr>
      <w:r>
        <w:rPr>
          <w:rFonts w:ascii="PT Astra Serif" w:hAnsi="PT Astra Serif"/>
          <w:szCs w:val="28"/>
        </w:rPr>
        <w:t xml:space="preserve">Сведения (ф.0503169) представляются без учета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консолидационных процедур в части взаимосвязанных расчетов.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/>
          <w:szCs w:val="28"/>
        </w:rPr>
        <w:t xml:space="preserve">15.4. Сведения о принятых и неисполненных обязательствах получателя бюджетных средств </w:t>
      </w:r>
      <w:hyperlink w:history="1">
        <w:r>
          <w:rPr>
            <w:rFonts w:ascii="PT Astra Serif" w:hAnsi="PT Astra Serif"/>
            <w:szCs w:val="28"/>
          </w:rPr>
          <w:t xml:space="preserve">(ф. 0503175)</w:t>
        </w:r>
      </w:hyperlink>
      <w:r>
        <w:rPr>
          <w:rFonts w:ascii="PT Astra Serif" w:hAnsi="PT Astra Serif"/>
          <w:szCs w:val="28"/>
        </w:rPr>
        <w:t xml:space="preserve"> (далее – Сведения (ф. 0503175) формируются в соответствии с пунктом 170.2 Инструкции № 191н, с учетом следующих особенностей:</w:t>
      </w:r>
      <w:r/>
    </w:p>
    <w:p>
      <w:pPr>
        <w:ind w:firstLine="709"/>
        <w:jc w:val="both"/>
      </w:pPr>
      <w:r>
        <w:rPr>
          <w:rFonts w:ascii="PT Astra Serif" w:hAnsi="PT Astra Serif"/>
          <w:szCs w:val="28"/>
        </w:rPr>
        <w:t xml:space="preserve">в программном комплексе Свод Смарт код формы 0503175G_sar;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формирование показателей раздела 1 «Сведения о неисполненных бюджетных обязательствах» и 2 «Сведения о неисполненных денежных обязательствах» в части принятых и не исполненных бюджетных обязательств (денежных обяза</w:t>
      </w:r>
      <w:r>
        <w:rPr>
          <w:rFonts w:ascii="PT Astra Serif" w:hAnsi="PT Astra Serif"/>
        </w:rPr>
        <w:t xml:space="preserve">тельств), отраженных по соответствующим строкам в графах 11, 12 раздела 1 «Бюджетные обязательства текущего (отчетного) финансового года по расходам» Отчета (ф. 0503128), с формированием показателей в графах 1 – 8 по соответствующим строкам по номерам счет</w:t>
      </w:r>
      <w:r>
        <w:rPr>
          <w:rFonts w:ascii="PT Astra Serif" w:hAnsi="PT Astra Serif"/>
        </w:rPr>
        <w:t xml:space="preserve">ов аналитического учета счетов 1 502 11 000 «Принятые обязательства на текущий финансовый год» (раздел 1), 1 502 12 000 «Принятые денежные обязательства на текущий финансовый год» (раздел 2) Сведений (ф. 0503175) осуществляется по всем фактам неисполнения;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в графах 3, 4 разделов 1 «Сведения о неисполненных бюджетных обязательствах» и 2 «Сведения о неисполненных д</w:t>
      </w:r>
      <w:r>
        <w:rPr>
          <w:rFonts w:ascii="PT Astra Serif" w:hAnsi="PT Astra Serif"/>
        </w:rPr>
        <w:t xml:space="preserve">енежных обязательствах» отражаются дата возникновения неисполненного обязательства и дата исполнения обязательства, предусмотренная  в основании его возникновения (договор, счет, нормативно-правовой акт, исполнительный документ и т.п.) в формате «ММ.ГГГГ»;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при наличии неисполненного обязательства перед физическим лицом, индивидуальным предпринимателем в графе 5 указывается значение «0000000000», в графе 6 – «ФИЗИЧЕСКОЕ ЛИЦО/ИНДИВИДУАЛЬНЫЙ ПРЕДПРИНИМАТЕЛЬ»;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в графах 7, 8 разделов 1 и 2 Сведений (ф. 0503175)</w:t>
      </w:r>
      <w:r>
        <w:rPr>
          <w:rFonts w:ascii="PT Astra Serif" w:hAnsi="PT Astra Serif"/>
        </w:rPr>
        <w:t xml:space="preserve"> указывается причина образования неисполненных обязательств с указанием кода причины неисполнения, оказавшей наибольшее влияние на показатель исполнения соответствующего обязательства, согласно перечню причин,  установленному пунктом 170.2 Инструкции </w:t>
      </w:r>
      <w:r>
        <w:rPr>
          <w:rFonts w:ascii="PT Astra Serif" w:hAnsi="PT Astra Serif"/>
        </w:rPr>
        <w:t xml:space="preserve">№ </w:t>
      </w:r>
      <w:r>
        <w:rPr>
          <w:rFonts w:ascii="PT Astra Serif" w:hAnsi="PT Astra Serif"/>
        </w:rPr>
        <w:t xml:space="preserve">191н.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Дополнительная информация, разъясняюща</w:t>
      </w:r>
      <w:r>
        <w:rPr>
          <w:rFonts w:ascii="PT Astra Serif" w:hAnsi="PT Astra Serif"/>
        </w:rPr>
        <w:t xml:space="preserve">я причины неисполнения обязательств, а также информация о причинах неисполнения, отраженных по кодам «99 - иные причины», «75 - иные причины» раскрывается текстовыми пояснениями к Сведениям (ф. 0503175) в текстовой части Пояснительной записки (ф. 0503160).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Формирование показателей раздела 3 Сведений (ф. 0503175) осуществляется по всем фактам превышения принятых обязательств над суммой утвержденных бюджетных назначений.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Показатели граф 7 и 8 раздела 3 сводных Сведений (ф. 0503175) не заполняются. В случае наличия бюджетных обязательств, принятых св</w:t>
      </w:r>
      <w:r>
        <w:rPr>
          <w:rFonts w:ascii="PT Astra Serif" w:hAnsi="PT Astra Serif"/>
        </w:rPr>
        <w:t xml:space="preserve">ерх утвержденных бюджетных назначений, информация о которых раскрывается в графах 2, 3, 4, сводных Сведений (ф. 0503175), в текстовой части Пояснительной записки (ф. 0503160) субъектом отчетности указываются  причины возникновения вышеуказанной информации.</w:t>
      </w:r>
      <w:r/>
    </w:p>
    <w:p>
      <w:pPr>
        <w:ind w:firstLine="709"/>
        <w:jc w:val="both"/>
        <w:widowControl w:val="off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15.5. В текстовой части Пояснительной записки (ф. 0503160) (Пояснительной записки к отчету об исполнении консолидированного бюджета (ф. 0503360)) обязательно указывается следующая информация: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а) данные по исполнению бюджета, отраженных в отчетности со знаком «минус»;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б) причины возникновения, меры, принятые (принимаемые) для урегулирования просроченной дебиторской, кредиторской задолженности;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/>
          <w:szCs w:val="28"/>
        </w:rPr>
        <w:t xml:space="preserve">в) расшифровки сумм отраженных по коду дохода ХХХ 1 13 0299Х ХХ ХХХХ 130 Отчета об исполнении бюджета </w:t>
      </w:r>
      <w:hyperlink w:history="1">
        <w:r>
          <w:rPr>
            <w:rFonts w:ascii="PT Astra Serif" w:hAnsi="PT Astra Serif"/>
            <w:szCs w:val="28"/>
          </w:rPr>
          <w:t xml:space="preserve">(ф. 0503117), </w:t>
        </w:r>
      </w:hyperlink>
      <w:r>
        <w:rPr>
          <w:rFonts w:ascii="PT Astra Serif" w:hAnsi="PT Astra Serif"/>
          <w:szCs w:val="28"/>
        </w:rPr>
        <w:t xml:space="preserve">Отчета об исполнении консолидированного бюджета субъекта Российской Федерации и бюджета территориального государственного внебюджетного фонда </w:t>
      </w:r>
      <w:hyperlink w:history="1">
        <w:r>
          <w:rPr>
            <w:rFonts w:ascii="PT Astra Serif" w:hAnsi="PT Astra Serif"/>
            <w:szCs w:val="28"/>
          </w:rPr>
          <w:t xml:space="preserve">(ф. 0503317)</w:t>
        </w:r>
      </w:hyperlink>
      <w:r>
        <w:rPr>
          <w:rFonts w:ascii="PT Astra Serif" w:hAnsi="PT Astra Serif"/>
          <w:szCs w:val="28"/>
        </w:rPr>
        <w:t xml:space="preserve"> в части восстанов</w:t>
      </w:r>
      <w:r>
        <w:rPr>
          <w:rFonts w:ascii="PT Astra Serif" w:hAnsi="PT Astra Serif"/>
          <w:szCs w:val="28"/>
        </w:rPr>
        <w:t xml:space="preserve">ленной дебиторской задолженности прошлых лет по целевым средствам областного бюджета с указанием главного распорядителя областного бюджета, перечислившего межбюджетный трансферт в прошлые отчетные периоды, с указанием наименования межбюджетного трансферта;</w:t>
      </w:r>
      <w:r/>
    </w:p>
    <w:p>
      <w:pPr>
        <w:ind w:firstLine="540"/>
        <w:jc w:val="both"/>
      </w:pPr>
      <w:r>
        <w:rPr>
          <w:rFonts w:ascii="PT Astra Serif" w:hAnsi="PT Astra Serif"/>
          <w:szCs w:val="28"/>
        </w:rPr>
        <w:t xml:space="preserve">г)</w:t>
      </w:r>
      <w:r>
        <w:rPr>
          <w:rFonts w:ascii="PT Astra Serif" w:hAnsi="PT Astra Serif" w:eastAsiaTheme="minorHAnsi"/>
          <w:szCs w:val="28"/>
          <w:lang w:eastAsia="en-US"/>
        </w:rPr>
        <w:t xml:space="preserve"> допустимые отклонения (операции на банковских счетах получателей средств бюджета, некассовые операции и т.п.) показателей Отчета ф. 0503317 (Отчета (ф. 0503117)) от показателей Консолидированного отчета о кассовых поступлениях и выбытиях </w:t>
      </w:r>
      <w:hyperlink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0503152)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 (Отчета по поступлениям и выбытиям (ф. 0503151)), представляемого в финансовый орган соответствующим территориальным органом Федерального казначейства должны быть пояснены в текстовой части Пояснительной записки </w:t>
      </w:r>
      <w:hyperlink w:history="1">
        <w:r>
          <w:rPr>
            <w:rFonts w:ascii="PT Astra Serif" w:hAnsi="PT Astra Serif" w:eastAsiaTheme="minorHAnsi"/>
            <w:szCs w:val="28"/>
            <w:lang w:eastAsia="en-US"/>
          </w:rPr>
          <w:t xml:space="preserve">(ф. 0503360)</w:t>
        </w:r>
      </w:hyperlink>
      <w:r>
        <w:rPr>
          <w:rFonts w:ascii="PT Astra Serif" w:hAnsi="PT Astra Serif" w:eastAsiaTheme="minorHAnsi"/>
          <w:szCs w:val="28"/>
          <w:lang w:eastAsia="en-US"/>
        </w:rPr>
        <w:t xml:space="preserve"> (Пояснительной записки (ф. 0503160)) в разделе 3 «Анализ отчета об исполнении бюджета субъектом бюджетной отчетности»;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 w:eastAsiaTheme="minorHAnsi"/>
          <w:szCs w:val="28"/>
          <w:lang w:eastAsia="en-US"/>
        </w:rPr>
        <w:t xml:space="preserve">д) причины отклонения кассового исполнения от утвержденных бюджетных назначений (прогнозных показателей);</w:t>
      </w:r>
      <w:r/>
    </w:p>
    <w:p>
      <w:pPr>
        <w:ind w:firstLine="709"/>
        <w:jc w:val="both"/>
        <w:tabs>
          <w:tab w:val="left" w:pos="851" w:leader="none"/>
        </w:tabs>
      </w:pPr>
      <w:r>
        <w:rPr>
          <w:rFonts w:ascii="PT Astra Serif" w:hAnsi="PT Astra Serif" w:eastAsiaTheme="minorHAnsi"/>
          <w:szCs w:val="28"/>
          <w:lang w:eastAsia="en-US"/>
        </w:rPr>
        <w:t xml:space="preserve">е) в разделе 4 «Анализ показателей бухгалтерской отчетности субъекта бюджетной отчетности Пояснительной записки (ф. 0503160)(Пояснительн</w:t>
      </w:r>
      <w:r>
        <w:rPr>
          <w:rFonts w:ascii="PT Astra Serif" w:hAnsi="PT Astra Serif" w:eastAsiaTheme="minorHAnsi"/>
          <w:szCs w:val="28"/>
          <w:lang w:eastAsia="en-US"/>
        </w:rPr>
        <w:t xml:space="preserve">ой записки к отчету об исполнении консолидированного бюджета (ф. 0503360)) раскрывается информация об изменении показателей на начало отчетного периода вступительного баланса учреждения, связанная с иными причинами, предусмотренными законодательством Росси</w:t>
      </w:r>
      <w:r>
        <w:rPr>
          <w:rFonts w:ascii="PT Astra Serif" w:hAnsi="PT Astra Serif" w:eastAsiaTheme="minorHAnsi"/>
          <w:szCs w:val="28"/>
          <w:lang w:eastAsia="en-US"/>
        </w:rPr>
        <w:t xml:space="preserve">йской Федерации, а также указанная в графе 2 раздела 4 Сведений об изменении остатков валюты баланса (ф. 0503173) (Сведений об изменении остатков валюты баланса консолидированного бюджета (ф. 0503373)), по коду дополнительной причины «03.5 – иные причины»;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ж) информация об ином статусе объекта при реализации инвес</w:t>
      </w:r>
      <w:r>
        <w:rPr>
          <w:rFonts w:ascii="PT Astra Serif" w:hAnsi="PT Astra Serif"/>
        </w:rPr>
        <w:t xml:space="preserve">тиционного проекта на отчетную дату, информация об ином основании выбытия капитальных вложений (объекта незавершенного строительства), указанные в Сведениях о вложениях в объекты недвижимого имущества, об объектах незавершенного строительства (ф. 0503190);</w:t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з) иная информация, оказавшая существенное влияние на результаты исполнения бюджета за отчетный период и характеризующая показатели годовой бюджетной отчетности об исполнении бюджета, годовой бюджетной отчетность об исполнении консолидированного бюджета.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15.6. При отражении в Справке по заключению учреждением счетов бухгалтерского учета отчетного финансового года (ф. 0503710) (д</w:t>
      </w:r>
      <w:r>
        <w:rPr>
          <w:rFonts w:ascii="PT Astra Serif" w:hAnsi="PT Astra Serif"/>
          <w:szCs w:val="28"/>
        </w:rPr>
        <w:t xml:space="preserve">алее – Справка (ф. 0503710) информации о финансовом результате, сформированном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</w:t>
      </w:r>
      <w:r>
        <w:rPr>
          <w:rFonts w:ascii="PT Astra Serif" w:hAnsi="PT Astra Serif"/>
          <w:szCs w:val="28"/>
        </w:rPr>
        <w:t xml:space="preserve">тов) в 1 – 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</w:t>
      </w:r>
      <w:r>
        <w:rPr>
          <w:rFonts w:ascii="PT Astra Serif" w:hAnsi="PT Astra Serif"/>
          <w:szCs w:val="28"/>
        </w:rPr>
        <w:t xml:space="preserve">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 ХХ ХХ 000 ХХ ХХХХХ ХХХ.</w:t>
      </w:r>
      <w:r>
        <w:rPr>
          <w:rFonts w:ascii="PT Astra Serif" w:hAnsi="PT Astra Serif"/>
          <w:szCs w:val="28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15.7. Сведения (ф. 0503769)</w:t>
      </w:r>
      <w:r>
        <w:rPr>
          <w:rFonts w:ascii="PT Astra Serif" w:hAnsi="PT Astra Serif" w:cs="Calibri"/>
          <w:sz w:val="22"/>
          <w:szCs w:val="20"/>
        </w:rPr>
        <w:t xml:space="preserve"> </w:t>
      </w:r>
      <w:r>
        <w:rPr>
          <w:rFonts w:ascii="PT Astra Serif" w:hAnsi="PT Astra Serif"/>
        </w:rPr>
        <w:t xml:space="preserve">формируются в порядке, установленном пунктом 69 Инструкции № 33н.</w:t>
      </w:r>
      <w:r>
        <w:rPr>
          <w:rFonts w:ascii="PT Astra Serif" w:hAnsi="PT Astra Serif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Сводные Сведения (ф. 0503769) составляются раздельно по типу учреждения (автономное, бюджетное), по видам финансового обеспечения (деятельности): собственные доходы учреждения, субсидии на</w:t>
      </w:r>
      <w:r>
        <w:rPr>
          <w:rFonts w:ascii="PT Astra Serif" w:hAnsi="PT Astra Serif"/>
          <w:szCs w:val="28"/>
        </w:rPr>
        <w:t xml:space="preserve"> выполнение государственного (муниципального) задания, субсидии на иные цели, субсидии на цели осуществления капитальных вложений; средства по обязательному медицинскому страхованию, а также отдельно по дебиторской и отдельно по кредиторской задолженности.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При отражении в Сведениях (ф.</w:t>
      </w:r>
      <w:r>
        <w:rPr>
          <w:rFonts w:ascii="PT Astra Serif" w:hAnsi="PT Astra Serif"/>
          <w:szCs w:val="28"/>
        </w:rPr>
        <w:t xml:space="preserve"> 0503769) информации о дебиторской и кредиторской задолженности, образовавшейся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</w:t>
      </w:r>
      <w:r>
        <w:rPr>
          <w:rFonts w:ascii="PT Astra Serif" w:hAnsi="PT Astra Serif"/>
          <w:szCs w:val="28"/>
        </w:rPr>
        <w:t xml:space="preserve">ктов) в 1 – 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</w:t>
      </w:r>
      <w:r>
        <w:rPr>
          <w:rFonts w:ascii="PT Astra Serif" w:hAnsi="PT Astra Serif"/>
          <w:szCs w:val="28"/>
        </w:rPr>
        <w:t xml:space="preserve">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ХХ ХХ 000 ХХ ХХХХХ ХХХ.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Раздел 2 Сведений (ф. 05</w:t>
      </w:r>
      <w:r>
        <w:rPr>
          <w:rFonts w:ascii="PT Astra Serif" w:hAnsi="PT Astra Serif"/>
          <w:szCs w:val="28"/>
        </w:rPr>
        <w:t xml:space="preserve">03769) заполняется в разрезе контрагентов с указанием в графе 1 номера счета бухгалтерского учета (25 знаков, без указания кода финансового обеспечения, который указывается в атрибутах формы), соответствующего отраженному в 1 разделе Сведений (ф. 0503769).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 графах 3 – 4 раздела 2 Сведений (ф. 0503769) отр</w:t>
      </w:r>
      <w:r>
        <w:rPr>
          <w:rFonts w:ascii="PT Astra Serif" w:hAnsi="PT Astra Serif"/>
          <w:szCs w:val="28"/>
        </w:rPr>
        <w:t xml:space="preserve">ажается (в формате «ММ.ГГГГ»)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 графах 5, 6 указывается идентификационный номер налогоплательщика (ИНН) кредитора (дебитора), а также наименование кредитора (дебитора) соот</w:t>
      </w:r>
      <w:r>
        <w:rPr>
          <w:rFonts w:ascii="PT Astra Serif" w:hAnsi="PT Astra Serif"/>
          <w:szCs w:val="28"/>
        </w:rPr>
        <w:t xml:space="preserve">ветственно. В случае, если кредитором (дебитором) является физическое лицо (включая сотрудников учреждения) или индивидуальный предприниматель, в графе 5 подлежит указанию значение «0000000000», в графе 6 – «ФИЗИЧЕСКОЕ ЛИЦО/ИНДИВИДУАЛЬНЫЙ ПРЕДПРИНИМАТЕЛЬ».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 графах 7, 8 указывается причина образования просроченной кредиторской (дебиторской) задолженности учреждения согласно перечню причин, установленному пунктом 69 Инструкции 33н.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</w:rPr>
      </w:pPr>
      <w:r>
        <w:rPr>
          <w:rFonts w:ascii="PT Astra Serif" w:hAnsi="PT Astra Serif"/>
          <w:szCs w:val="28"/>
        </w:rPr>
        <w:t xml:space="preserve">Причины</w:t>
      </w:r>
      <w:r>
        <w:rPr>
          <w:rFonts w:ascii="PT Astra Serif" w:hAnsi="PT Astra Serif"/>
          <w:szCs w:val="28"/>
        </w:rPr>
        <w:t xml:space="preserve"> 05 «иные причины возникновения просроченной кредиторской задолженности» и 89 «иные причины возникновения просроченной дебиторской задолженности» дополнительно подробно раскрываются в текстовой части Пояснительной записки к Балансу учреждения (ф. 0503760).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15.8. Сведения о принятых и неисполненных обязательствах (ф. 0503775) (далее – Сведения (ф. 0503775)) формируются в соответствии с п. 72.1 Инструкции № 33н с учетом следующих особенностей: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в программном комплексе Свод Смарт код формы 0503775G_sar;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формирование показателей раздела 1 «Аналитическая информация о неисполненных обязательствах» и раздела 2 «Аналитическая информация о неисполненных денежных об</w:t>
      </w:r>
      <w:r>
        <w:rPr>
          <w:rFonts w:ascii="PT Astra Serif" w:hAnsi="PT Astra Serif"/>
        </w:rPr>
        <w:t xml:space="preserve">язательствах» в части принятых и не исполненных бюджетных обязательств (денежных обязательств), отраженных по соответствующим строкам в графах 11, 12 Отчета (ф. 0503738), с формированием показателей в графах 1 – 8 по соответствующим строкам по номерам счет</w:t>
      </w:r>
      <w:r>
        <w:rPr>
          <w:rFonts w:ascii="PT Astra Serif" w:hAnsi="PT Astra Serif"/>
        </w:rPr>
        <w:t xml:space="preserve">ов аналитического учета счетов 0 502 11 000 «Принятые обязательства на текущий финансовый год» (раздел 1), 0 502 12 000 «Принятые денежные обязательства на текущий финансовый год» (раздел 2) Сведений (ф. 0503775) осуществляется по всем фактам неисполнения;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в графах</w:t>
      </w:r>
      <w:r>
        <w:rPr>
          <w:rFonts w:ascii="PT Astra Serif" w:hAnsi="PT Astra Serif"/>
        </w:rPr>
        <w:t xml:space="preserve"> 3, 4 разделов 1 «Аналитическая информация о неисполненных обязательствах» и 2 «Аналитическая информация о неисполненных денежных обязательствах» отражаются дата возникновения неисполненного обязательства и дата исполнения обязательства, предусмотренная в </w:t>
      </w:r>
      <w:r>
        <w:rPr>
          <w:rFonts w:ascii="PT Astra Serif" w:hAnsi="PT Astra Serif"/>
        </w:rPr>
        <w:t xml:space="preserve">основании его возникновения (договор, счет, нормативно-правовой акт, исполнительный документ и т.п.) в формате «ММ.ГГГГ»;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в графах 5, 6 указываются идентификационный номер налогоплательщика (ИНН), а также наименование контрагента со</w:t>
      </w:r>
      <w:r>
        <w:rPr>
          <w:rFonts w:ascii="PT Astra Serif" w:hAnsi="PT Astra Serif"/>
        </w:rPr>
        <w:t xml:space="preserve">ответственно. Показатели остатков неисполненных обязательств перед физическими лицами, индивидуальными предпринимателями подлежат обобщению. При этом в графе 5 указывается значение «0000000000», в графе 6 – «ФИЗИЧЕСКОЕ ЛИЦО/ИНДИВИДУАЛЬНЫЙ ПРЕДПРИНИМАТЕЛЬ»;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в графах 7, 8 разделов 1 и 2 Сведений (ф. 0503775) указывается причина образования неисполненных расходных обязательств с указанием кода причины неисполнения, согласно перечню причин,  установленному пунктом 72.1 Инструкции </w:t>
      </w:r>
      <w:r>
        <w:rPr>
          <w:rFonts w:ascii="PT Astra Serif" w:hAnsi="PT Astra Serif"/>
        </w:rPr>
        <w:t xml:space="preserve">№ </w:t>
      </w:r>
      <w:r>
        <w:rPr>
          <w:rFonts w:ascii="PT Astra Serif" w:hAnsi="PT Astra Serif"/>
        </w:rPr>
        <w:t xml:space="preserve">33н.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Дополнительная информация, разъясняющая причины неисполнения обязательств, а также информация о </w:t>
      </w:r>
      <w:r>
        <w:rPr>
          <w:rFonts w:ascii="PT Astra Serif" w:hAnsi="PT Astra Serif"/>
        </w:rPr>
        <w:t xml:space="preserve">причинах неисполнения, отраженных по кодам «99 - иные причины», «75 - иные причины» раскрывается текстовыми пояснениями к Сведениям (ф. 0503775) в Разделе 4 «Анализ показателей отчетности учреждения» Пояснительной записки к Балансу учреждения (ф. 0503760).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Формирование показателей раздела 3 Сведений (ф. 0503775) осуществляется по всем фактам превышения принятых обязательств над суммой утвержденных бюджетных назначений.</w:t>
      </w:r>
      <w:r/>
    </w:p>
    <w:p>
      <w:pPr>
        <w:pStyle w:val="914"/>
        <w:ind w:firstLine="709"/>
        <w:jc w:val="both"/>
        <w:spacing w:line="238" w:lineRule="auto"/>
      </w:pPr>
      <w:r>
        <w:rPr>
          <w:rFonts w:ascii="PT Astra Serif" w:hAnsi="PT Astra Serif"/>
        </w:rPr>
        <w:t xml:space="preserve">Показатели граф 7 и 8 раздела 3 сводных Сведений (ф. 0503775) не заполняются. В случае наличия расходных обязательств, принятых сверх утвержденного плана хозяйственной (финансовой) деятель</w:t>
      </w:r>
      <w:r>
        <w:rPr>
          <w:rFonts w:ascii="PT Astra Serif" w:hAnsi="PT Astra Serif"/>
        </w:rPr>
        <w:t xml:space="preserve">ности учреждения, информация о которых раскрывается в графах 2, 3, 4, сводных Сведений (ф. 0503775), в текстовой части Пояснительной записки к Балансу учреждения (ф. 0503760) субъектом отчетности указываются  причины возникновения вышеуказанной информации.</w:t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В разделе 4 Сведений (ф. 0503775) отражается аналитическая информация на основан</w:t>
      </w:r>
      <w:r>
        <w:rPr>
          <w:rFonts w:ascii="PT Astra Serif" w:hAnsi="PT Astra Serif"/>
        </w:rPr>
        <w:t xml:space="preserve">ии данных об экономии при заключении договоров с применением конкурентных способов или при осуществлении закупки у единственного поставщика (подрядчика, исполнителя) при условии размещения в единой информационной системе извещения об осуществлении закупки.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15.9. В текстовой части Пояснительной записки к Балансу учреждения (ф. 0503760) обязательно указываются: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а) причины возникновения, меры, принятые (принимаемые) для урегулирования просроченной дебиторской, кредиторской задолженности;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б) показатели расчетов в части некассовых операций по исполнению плана финансово-хозяйственной деятельности (сметы доходов и расходов) учреждения;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в) показатели расчетов в части полученных субсидий из местного бюджета не соответствующие расходам органов, уполномоченных на </w:t>
      </w:r>
      <w:r>
        <w:rPr>
          <w:rFonts w:ascii="PT Astra Serif" w:hAnsi="PT Astra Serif"/>
          <w:szCs w:val="28"/>
        </w:rPr>
        <w:t xml:space="preserve">осуществление функций и полномочий учредителя в отношении муниципальных бюджетных и автономных учреждений;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г) исполнения плановых назначений по доходам и расходам учреждения, отраженные в отчетности со знаком «минус»;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д) показатели изме</w:t>
      </w:r>
      <w:r>
        <w:rPr>
          <w:rFonts w:ascii="PT Astra Serif" w:hAnsi="PT Astra Serif"/>
          <w:szCs w:val="28"/>
        </w:rPr>
        <w:t xml:space="preserve">нения расчетов по привлечению денежных средств учреждения от иных видов финансового обеспечения (деятельности) при исполнении плана финансово-хозяйственной деятельности в пределах остатка собственных средств учреждения обязательств (денежных обязательств);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е) причины возникновения расходных  обязательств, принятых сверх утвержденного плана финансово-хозяйственной деятельности;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ж) информация о задолженности по исполнительным документам и правовом основании ее возникновения;</w:t>
      </w:r>
      <w:r>
        <w:rPr>
          <w:rFonts w:ascii="PT Astra Serif" w:hAnsi="PT Astra Serif"/>
          <w:szCs w:val="28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з) в разделе 4 «Анализ показателей отчетности учреждения» Пояснительной записки к Балансу учреждения (ф. 0503760) раскрывается информация об изменении показателей на начало отчетного периода вступительного баланса учре</w:t>
      </w:r>
      <w:r>
        <w:rPr>
          <w:rFonts w:ascii="PT Astra Serif" w:hAnsi="PT Astra Serif"/>
        </w:rPr>
        <w:t xml:space="preserve">ждения, связанная с иными причинами, предусмотренными законодательством Российской Федерации, а также  указанная в графе 2 раздела 4 Сведений об изменении остатков валюты баланса учреждения (ф. 0503773) по коду дополнительной причины «03.5 – иные причины»;</w:t>
      </w:r>
      <w:r>
        <w:rPr>
          <w:rFonts w:ascii="PT Astra Serif" w:hAnsi="PT Astra Serif"/>
        </w:rPr>
      </w:r>
      <w:r/>
    </w:p>
    <w:p>
      <w:pPr>
        <w:pStyle w:val="914"/>
        <w:ind w:firstLine="709"/>
        <w:jc w:val="both"/>
        <w:spacing w:line="238" w:lineRule="auto"/>
        <w:rPr>
          <w:rFonts w:ascii="PT Astra Serif" w:hAnsi="PT Astra Serif"/>
        </w:rPr>
      </w:pPr>
      <w:r>
        <w:rPr>
          <w:rFonts w:ascii="PT Astra Serif" w:hAnsi="PT Astra Serif"/>
        </w:rPr>
        <w:t xml:space="preserve">и) информация об ином статусе объекта при реализации инвестиционного проекта на начало и на конец года на отчетную дату, информация об ином основании выбытия капитальных вложений (объекта незавершенного строительства), указанные в </w:t>
      </w:r>
      <w:r>
        <w:rPr>
          <w:rFonts w:ascii="PT Astra Serif" w:hAnsi="PT Astra Serif"/>
          <w:spacing w:val="2"/>
        </w:rPr>
        <w:t xml:space="preserve">Сведения о вложениях в объекты недвижимого имущества, об объектах незавершенного строительства бюджетного (автономного) учреждения (ф. 0503790)</w:t>
      </w:r>
      <w:r>
        <w:rPr>
          <w:rFonts w:ascii="PT Astra Serif" w:hAnsi="PT Astra Serif"/>
        </w:rPr>
        <w:t xml:space="preserve">;</w:t>
      </w:r>
      <w:r>
        <w:rPr>
          <w:rFonts w:ascii="PT Astra Serif" w:hAnsi="PT Astra Serif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к) иная информация, оказавшая существенное влияние на результаты деятельности учреждения за отчетный период и характеризующая показатели годовой сводной бухгалтерской отчетности.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15.10. Сведения о вложениях в объекты недвижимого им</w:t>
      </w:r>
      <w:r>
        <w:rPr>
          <w:rFonts w:ascii="PT Astra Serif" w:hAnsi="PT Astra Serif"/>
          <w:szCs w:val="28"/>
        </w:rPr>
        <w:t xml:space="preserve">ущества, об объектах незавершенного строительства  бюджетного (автономного) учреждения  (ф. 0503790) (далее – Сведения (ф. 0503790)) формируются в порядке, установленном пунктами 75 и 76 Инструкции № 33н с соблюдением установленных контрольных соотношений.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16. В случае, если все показатели, предусмотренные формой бюдже</w:t>
      </w:r>
      <w:r>
        <w:rPr>
          <w:rFonts w:ascii="PT Astra Serif" w:hAnsi="PT Astra Serif"/>
          <w:szCs w:val="28"/>
        </w:rPr>
        <w:t xml:space="preserve">тной (бухгалтерской) отчетности, утвержденной настоящими Указаниями, не имеют числового значения, такая форма отчетности не составляется, информация о чем подлежит отражению в пояснительной записке к бюджетной (бухгалтерской) отчетности за отчетный период.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При осуществлении формирования и (или) представления бюджетной (бухгалтерской) отчетности средствами программного комплекса автоматизации формы бюджетной (бухгалтерской) отчетности, не имеющие </w:t>
      </w:r>
      <w:r>
        <w:rPr>
          <w:rFonts w:ascii="PT Astra Serif" w:hAnsi="PT Astra Serif"/>
          <w:szCs w:val="28"/>
        </w:rPr>
        <w:t xml:space="preserve">числовых значений показателей и не содержащие пояснения, формируются и представляются с указанием статуса «Показатели отсутствуют».</w:t>
      </w:r>
      <w:r>
        <w:rPr>
          <w:rFonts w:ascii="PT Astra Serif" w:hAnsi="PT Astra Serif"/>
          <w:szCs w:val="28"/>
        </w:rPr>
      </w:r>
      <w:r/>
    </w:p>
    <w:p>
      <w:pPr>
        <w:ind w:firstLine="709"/>
        <w:jc w:val="both"/>
        <w:tabs>
          <w:tab w:val="left" w:pos="851" w:leader="none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  <w:r>
        <w:rPr>
          <w:rFonts w:ascii="PT Astra Serif" w:hAnsi="PT Astra Serif"/>
          <w:szCs w:val="28"/>
        </w:rPr>
      </w:r>
      <w:r/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1978267"/>
      <w:docPartObj>
        <w:docPartGallery w:val="Page Numbers (Bottom of Page)"/>
        <w:docPartUnique w:val="true"/>
      </w:docPartObj>
      <w:rPr/>
    </w:sdtPr>
    <w:sdtContent>
      <w:p>
        <w:pPr>
          <w:pStyle w:val="908"/>
          <w:rPr>
            <w:color w:val="808080"/>
            <w:sz w:val="14"/>
            <w:szCs w:val="14"/>
          </w:rPr>
        </w:pPr>
        <w:r>
          <w:rPr>
            <w:color w:val="808080"/>
            <w:sz w:val="14"/>
            <w:szCs w:val="14"/>
          </w:rPr>
        </w:r>
        <w:r>
          <w:rPr>
            <w:color w:val="808080"/>
            <w:sz w:val="14"/>
            <w:szCs w:val="14"/>
          </w:rPr>
        </w:r>
        <w:r/>
      </w:p>
      <w:p>
        <w:pPr>
          <w:pStyle w:val="908"/>
          <w:rPr>
            <w:color w:val="808080"/>
            <w:sz w:val="14"/>
            <w:szCs w:val="14"/>
            <w:lang w:val="en-US"/>
          </w:rPr>
        </w:pPr>
        <w:r>
          <w:rPr>
            <w:color w:val="808080"/>
            <w:sz w:val="14"/>
            <w:szCs w:val="14"/>
            <w:lang w:val="en-US"/>
          </w:rPr>
        </w:r>
        <w:r>
          <w:rPr>
            <w:color w:val="808080"/>
            <w:sz w:val="14"/>
            <w:szCs w:val="14"/>
            <w:lang w:val="en-US"/>
          </w:rPr>
        </w:r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8"/>
      <w:rPr>
        <w:color w:val="808080"/>
        <w:sz w:val="14"/>
        <w:szCs w:val="14"/>
      </w:rPr>
    </w:pPr>
    <w:r>
      <w:rPr>
        <w:color w:val="808080"/>
        <w:sz w:val="14"/>
        <w:szCs w:val="14"/>
      </w:rPr>
    </w:r>
    <w:r>
      <w:rPr>
        <w:color w:val="808080"/>
        <w:sz w:val="14"/>
        <w:szCs w:val="14"/>
      </w:rPr>
    </w:r>
    <w:r/>
  </w:p>
  <w:p>
    <w:pPr>
      <w:pStyle w:val="908"/>
      <w:rPr>
        <w:color w:val="808080"/>
        <w:sz w:val="14"/>
        <w:szCs w:val="14"/>
      </w:rPr>
    </w:pPr>
    <w:r>
      <w:rPr>
        <w:color w:val="808080"/>
        <w:sz w:val="14"/>
        <w:szCs w:val="14"/>
      </w:rPr>
    </w:r>
    <w:r>
      <w:rPr>
        <w:color w:val="808080"/>
        <w:sz w:val="14"/>
        <w:szCs w:val="14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903986"/>
      <w:docPartObj>
        <w:docPartGallery w:val="Page Numbers (Top of Page)"/>
        <w:docPartUnique w:val="true"/>
      </w:docPartObj>
      <w:rPr/>
    </w:sdtPr>
    <w:sdtContent>
      <w:p>
        <w:pPr>
          <w:pStyle w:val="90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90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center"/>
    </w:pPr>
    <w:r/>
    <w:r/>
  </w:p>
  <w:p>
    <w:pPr>
      <w:pStyle w:val="90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13">
    <w:name w:val="Heading 1"/>
    <w:basedOn w:val="712"/>
    <w:next w:val="712"/>
    <w:link w:val="74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4">
    <w:name w:val="Heading 2"/>
    <w:basedOn w:val="712"/>
    <w:next w:val="712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5">
    <w:name w:val="Heading 3"/>
    <w:basedOn w:val="712"/>
    <w:next w:val="712"/>
    <w:link w:val="74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6">
    <w:name w:val="Heading 4"/>
    <w:basedOn w:val="712"/>
    <w:next w:val="712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712"/>
    <w:next w:val="712"/>
    <w:link w:val="7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</w:rPr>
  </w:style>
  <w:style w:type="paragraph" w:styleId="718">
    <w:name w:val="Heading 6"/>
    <w:basedOn w:val="712"/>
    <w:next w:val="712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9">
    <w:name w:val="Heading 7"/>
    <w:basedOn w:val="712"/>
    <w:next w:val="712"/>
    <w:link w:val="74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0">
    <w:name w:val="Heading 8"/>
    <w:basedOn w:val="712"/>
    <w:next w:val="712"/>
    <w:link w:val="7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712"/>
    <w:next w:val="712"/>
    <w:link w:val="74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character" w:styleId="725" w:customStyle="1">
    <w:name w:val="Heading 1 Char"/>
    <w:basedOn w:val="722"/>
    <w:uiPriority w:val="9"/>
    <w:rPr>
      <w:rFonts w:ascii="Arial" w:hAnsi="Arial" w:eastAsia="Arial" w:cs="Arial"/>
      <w:sz w:val="40"/>
      <w:szCs w:val="40"/>
    </w:rPr>
  </w:style>
  <w:style w:type="character" w:styleId="726" w:customStyle="1">
    <w:name w:val="Heading 2 Char"/>
    <w:basedOn w:val="722"/>
    <w:uiPriority w:val="9"/>
    <w:rPr>
      <w:rFonts w:ascii="Arial" w:hAnsi="Arial" w:eastAsia="Arial" w:cs="Arial"/>
      <w:sz w:val="34"/>
    </w:rPr>
  </w:style>
  <w:style w:type="character" w:styleId="727" w:customStyle="1">
    <w:name w:val="Heading 3 Char"/>
    <w:basedOn w:val="722"/>
    <w:uiPriority w:val="9"/>
    <w:rPr>
      <w:rFonts w:ascii="Arial" w:hAnsi="Arial" w:eastAsia="Arial" w:cs="Arial"/>
      <w:sz w:val="30"/>
      <w:szCs w:val="30"/>
    </w:rPr>
  </w:style>
  <w:style w:type="character" w:styleId="728" w:customStyle="1">
    <w:name w:val="Heading 4 Char"/>
    <w:basedOn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29" w:customStyle="1">
    <w:name w:val="Heading 5 Char"/>
    <w:basedOn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730" w:customStyle="1">
    <w:name w:val="Heading 6 Char"/>
    <w:basedOn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Heading 7 Char"/>
    <w:basedOn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Heading 8 Char"/>
    <w:basedOn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Heading 9 Char"/>
    <w:basedOn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34" w:customStyle="1">
    <w:name w:val="Title Char"/>
    <w:basedOn w:val="722"/>
    <w:uiPriority w:val="10"/>
    <w:rPr>
      <w:sz w:val="48"/>
      <w:szCs w:val="48"/>
    </w:rPr>
  </w:style>
  <w:style w:type="character" w:styleId="735" w:customStyle="1">
    <w:name w:val="Subtitle Char"/>
    <w:basedOn w:val="722"/>
    <w:uiPriority w:val="11"/>
    <w:rPr>
      <w:sz w:val="24"/>
      <w:szCs w:val="24"/>
    </w:rPr>
  </w:style>
  <w:style w:type="character" w:styleId="736" w:customStyle="1">
    <w:name w:val="Quote Char"/>
    <w:uiPriority w:val="29"/>
    <w:rPr>
      <w:i/>
    </w:rPr>
  </w:style>
  <w:style w:type="character" w:styleId="737" w:customStyle="1">
    <w:name w:val="Intense Quote Char"/>
    <w:uiPriority w:val="30"/>
    <w:rPr>
      <w:i/>
    </w:rPr>
  </w:style>
  <w:style w:type="character" w:styleId="738" w:customStyle="1">
    <w:name w:val="Footnote Text Char"/>
    <w:uiPriority w:val="99"/>
    <w:rPr>
      <w:sz w:val="18"/>
    </w:rPr>
  </w:style>
  <w:style w:type="character" w:styleId="739" w:customStyle="1">
    <w:name w:val="Endnote Text Char"/>
    <w:uiPriority w:val="99"/>
    <w:rPr>
      <w:sz w:val="20"/>
    </w:rPr>
  </w:style>
  <w:style w:type="character" w:styleId="740" w:customStyle="1">
    <w:name w:val="Заголовок 1 Знак"/>
    <w:basedOn w:val="722"/>
    <w:link w:val="713"/>
    <w:uiPriority w:val="9"/>
    <w:rPr>
      <w:rFonts w:ascii="Arial" w:hAnsi="Arial" w:eastAsia="Arial" w:cs="Arial"/>
      <w:sz w:val="40"/>
      <w:szCs w:val="40"/>
    </w:rPr>
  </w:style>
  <w:style w:type="character" w:styleId="741" w:customStyle="1">
    <w:name w:val="Заголовок 2 Знак"/>
    <w:basedOn w:val="722"/>
    <w:link w:val="714"/>
    <w:uiPriority w:val="9"/>
    <w:rPr>
      <w:rFonts w:ascii="Arial" w:hAnsi="Arial" w:eastAsia="Arial" w:cs="Arial"/>
      <w:sz w:val="34"/>
    </w:rPr>
  </w:style>
  <w:style w:type="character" w:styleId="742" w:customStyle="1">
    <w:name w:val="Заголовок 3 Знак"/>
    <w:basedOn w:val="722"/>
    <w:link w:val="715"/>
    <w:uiPriority w:val="9"/>
    <w:rPr>
      <w:rFonts w:ascii="Arial" w:hAnsi="Arial" w:eastAsia="Arial" w:cs="Arial"/>
      <w:sz w:val="30"/>
      <w:szCs w:val="30"/>
    </w:rPr>
  </w:style>
  <w:style w:type="character" w:styleId="743" w:customStyle="1">
    <w:name w:val="Заголовок 4 Знак"/>
    <w:basedOn w:val="722"/>
    <w:link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44" w:customStyle="1">
    <w:name w:val="Заголовок 5 Знак"/>
    <w:basedOn w:val="722"/>
    <w:link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45" w:customStyle="1">
    <w:name w:val="Заголовок 6 Знак"/>
    <w:basedOn w:val="722"/>
    <w:link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746" w:customStyle="1">
    <w:name w:val="Заголовок 7 Знак"/>
    <w:basedOn w:val="722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7" w:customStyle="1">
    <w:name w:val="Заголовок 8 Знак"/>
    <w:basedOn w:val="722"/>
    <w:link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748" w:customStyle="1">
    <w:name w:val="Заголовок 9 Знак"/>
    <w:basedOn w:val="722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49">
    <w:name w:val="No Spacing"/>
    <w:uiPriority w:val="1"/>
    <w:qFormat/>
    <w:pPr>
      <w:spacing w:after="0" w:line="240" w:lineRule="auto"/>
    </w:pPr>
  </w:style>
  <w:style w:type="paragraph" w:styleId="750">
    <w:name w:val="Title"/>
    <w:basedOn w:val="712"/>
    <w:next w:val="712"/>
    <w:link w:val="75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1" w:customStyle="1">
    <w:name w:val="Название Знак"/>
    <w:basedOn w:val="722"/>
    <w:link w:val="750"/>
    <w:uiPriority w:val="10"/>
    <w:rPr>
      <w:sz w:val="48"/>
      <w:szCs w:val="48"/>
    </w:rPr>
  </w:style>
  <w:style w:type="paragraph" w:styleId="752">
    <w:name w:val="Subtitle"/>
    <w:basedOn w:val="712"/>
    <w:next w:val="712"/>
    <w:link w:val="753"/>
    <w:uiPriority w:val="11"/>
    <w:qFormat/>
    <w:pPr>
      <w:spacing w:before="200" w:after="200"/>
    </w:pPr>
    <w:rPr>
      <w:sz w:val="24"/>
    </w:rPr>
  </w:style>
  <w:style w:type="character" w:styleId="753" w:customStyle="1">
    <w:name w:val="Подзаголовок Знак"/>
    <w:basedOn w:val="722"/>
    <w:link w:val="752"/>
    <w:uiPriority w:val="11"/>
    <w:rPr>
      <w:sz w:val="24"/>
      <w:szCs w:val="24"/>
    </w:rPr>
  </w:style>
  <w:style w:type="paragraph" w:styleId="754">
    <w:name w:val="Quote"/>
    <w:basedOn w:val="712"/>
    <w:next w:val="712"/>
    <w:link w:val="755"/>
    <w:uiPriority w:val="29"/>
    <w:qFormat/>
    <w:pPr>
      <w:ind w:left="720" w:right="720"/>
    </w:pPr>
    <w:rPr>
      <w:i/>
    </w:rPr>
  </w:style>
  <w:style w:type="character" w:styleId="755" w:customStyle="1">
    <w:name w:val="Цитата 2 Знак"/>
    <w:link w:val="754"/>
    <w:uiPriority w:val="29"/>
    <w:rPr>
      <w:i/>
    </w:rPr>
  </w:style>
  <w:style w:type="paragraph" w:styleId="756">
    <w:name w:val="Intense Quote"/>
    <w:basedOn w:val="712"/>
    <w:next w:val="712"/>
    <w:link w:val="75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7" w:customStyle="1">
    <w:name w:val="Выделенная цитата Знак"/>
    <w:link w:val="756"/>
    <w:uiPriority w:val="30"/>
    <w:rPr>
      <w:i/>
    </w:rPr>
  </w:style>
  <w:style w:type="character" w:styleId="758" w:customStyle="1">
    <w:name w:val="Header Char"/>
    <w:basedOn w:val="722"/>
    <w:uiPriority w:val="99"/>
  </w:style>
  <w:style w:type="character" w:styleId="759" w:customStyle="1">
    <w:name w:val="Footer Char"/>
    <w:basedOn w:val="722"/>
    <w:uiPriority w:val="99"/>
  </w:style>
  <w:style w:type="paragraph" w:styleId="760">
    <w:name w:val="Caption"/>
    <w:basedOn w:val="712"/>
    <w:next w:val="7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 w:customStyle="1">
    <w:name w:val="Caption Char"/>
    <w:uiPriority w:val="99"/>
  </w:style>
  <w:style w:type="table" w:styleId="762">
    <w:name w:val="Table Grid"/>
    <w:basedOn w:val="7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 w:customStyle="1">
    <w:name w:val="Table Grid Light"/>
    <w:basedOn w:val="72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2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2"/>
    <w:link w:val="889"/>
    <w:uiPriority w:val="99"/>
    <w:semiHidden/>
    <w:unhideWhenUsed/>
    <w:pPr>
      <w:spacing w:after="40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22"/>
    <w:uiPriority w:val="99"/>
    <w:unhideWhenUsed/>
    <w:rPr>
      <w:vertAlign w:val="superscript"/>
    </w:rPr>
  </w:style>
  <w:style w:type="paragraph" w:styleId="891">
    <w:name w:val="endnote text"/>
    <w:basedOn w:val="712"/>
    <w:link w:val="892"/>
    <w:uiPriority w:val="99"/>
    <w:semiHidden/>
    <w:unhideWhenUsed/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22"/>
    <w:uiPriority w:val="99"/>
    <w:semiHidden/>
    <w:unhideWhenUsed/>
    <w:rPr>
      <w:vertAlign w:val="superscript"/>
    </w:rPr>
  </w:style>
  <w:style w:type="paragraph" w:styleId="894">
    <w:name w:val="toc 1"/>
    <w:basedOn w:val="712"/>
    <w:next w:val="712"/>
    <w:uiPriority w:val="39"/>
    <w:unhideWhenUsed/>
    <w:pPr>
      <w:spacing w:after="57"/>
    </w:pPr>
  </w:style>
  <w:style w:type="paragraph" w:styleId="895">
    <w:name w:val="toc 2"/>
    <w:basedOn w:val="712"/>
    <w:next w:val="712"/>
    <w:uiPriority w:val="39"/>
    <w:unhideWhenUsed/>
    <w:pPr>
      <w:ind w:left="283"/>
      <w:spacing w:after="57"/>
    </w:pPr>
  </w:style>
  <w:style w:type="paragraph" w:styleId="896">
    <w:name w:val="toc 3"/>
    <w:basedOn w:val="712"/>
    <w:next w:val="712"/>
    <w:uiPriority w:val="39"/>
    <w:unhideWhenUsed/>
    <w:pPr>
      <w:ind w:left="567"/>
      <w:spacing w:after="57"/>
    </w:pPr>
  </w:style>
  <w:style w:type="paragraph" w:styleId="897">
    <w:name w:val="toc 4"/>
    <w:basedOn w:val="712"/>
    <w:next w:val="712"/>
    <w:uiPriority w:val="39"/>
    <w:unhideWhenUsed/>
    <w:pPr>
      <w:ind w:left="850"/>
      <w:spacing w:after="57"/>
    </w:pPr>
  </w:style>
  <w:style w:type="paragraph" w:styleId="898">
    <w:name w:val="toc 5"/>
    <w:basedOn w:val="712"/>
    <w:next w:val="712"/>
    <w:uiPriority w:val="39"/>
    <w:unhideWhenUsed/>
    <w:pPr>
      <w:ind w:left="1134"/>
      <w:spacing w:after="57"/>
    </w:pPr>
  </w:style>
  <w:style w:type="paragraph" w:styleId="899">
    <w:name w:val="toc 6"/>
    <w:basedOn w:val="712"/>
    <w:next w:val="712"/>
    <w:uiPriority w:val="39"/>
    <w:unhideWhenUsed/>
    <w:pPr>
      <w:ind w:left="1417"/>
      <w:spacing w:after="57"/>
    </w:pPr>
  </w:style>
  <w:style w:type="paragraph" w:styleId="900">
    <w:name w:val="toc 7"/>
    <w:basedOn w:val="712"/>
    <w:next w:val="712"/>
    <w:uiPriority w:val="39"/>
    <w:unhideWhenUsed/>
    <w:pPr>
      <w:ind w:left="1701"/>
      <w:spacing w:after="57"/>
    </w:pPr>
  </w:style>
  <w:style w:type="paragraph" w:styleId="901">
    <w:name w:val="toc 8"/>
    <w:basedOn w:val="712"/>
    <w:next w:val="712"/>
    <w:uiPriority w:val="39"/>
    <w:unhideWhenUsed/>
    <w:pPr>
      <w:ind w:left="1984"/>
      <w:spacing w:after="57"/>
    </w:pPr>
  </w:style>
  <w:style w:type="paragraph" w:styleId="902">
    <w:name w:val="toc 9"/>
    <w:basedOn w:val="712"/>
    <w:next w:val="712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2"/>
    <w:next w:val="712"/>
    <w:uiPriority w:val="99"/>
    <w:unhideWhenUsed/>
  </w:style>
  <w:style w:type="paragraph" w:styleId="905">
    <w:name w:val="List Paragraph"/>
    <w:basedOn w:val="712"/>
    <w:uiPriority w:val="34"/>
    <w:qFormat/>
    <w:pPr>
      <w:contextualSpacing/>
      <w:ind w:left="720"/>
    </w:pPr>
  </w:style>
  <w:style w:type="paragraph" w:styleId="906">
    <w:name w:val="Header"/>
    <w:basedOn w:val="712"/>
    <w:link w:val="90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7" w:customStyle="1">
    <w:name w:val="Верхний колонтитул Знак"/>
    <w:basedOn w:val="722"/>
    <w:link w:val="906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08">
    <w:name w:val="Footer"/>
    <w:basedOn w:val="712"/>
    <w:link w:val="909"/>
    <w:unhideWhenUsed/>
    <w:pPr>
      <w:tabs>
        <w:tab w:val="center" w:pos="4677" w:leader="none"/>
        <w:tab w:val="right" w:pos="9355" w:leader="none"/>
      </w:tabs>
    </w:pPr>
  </w:style>
  <w:style w:type="character" w:styleId="909" w:customStyle="1">
    <w:name w:val="Нижний колонтитул Знак"/>
    <w:basedOn w:val="722"/>
    <w:link w:val="908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10">
    <w:name w:val="Balloon Text"/>
    <w:basedOn w:val="712"/>
    <w:link w:val="911"/>
    <w:uiPriority w:val="99"/>
    <w:semiHidden/>
    <w:unhideWhenUsed/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722"/>
    <w:link w:val="91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12">
    <w:name w:val="Body Text Indent"/>
    <w:basedOn w:val="712"/>
    <w:link w:val="913"/>
    <w:pPr>
      <w:ind w:firstLine="708"/>
      <w:jc w:val="both"/>
    </w:pPr>
    <w:rPr>
      <w:szCs w:val="28"/>
    </w:rPr>
  </w:style>
  <w:style w:type="character" w:styleId="913" w:customStyle="1">
    <w:name w:val="Основной текст с отступом Знак"/>
    <w:basedOn w:val="722"/>
    <w:link w:val="912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14" w:customStyle="1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915">
    <w:name w:val="Hyperlink"/>
    <w:basedOn w:val="722"/>
    <w:uiPriority w:val="99"/>
    <w:unhideWhenUsed/>
    <w:rPr>
      <w:color w:val="0000ff" w:themeColor="hyperlink"/>
      <w:u w:val="single"/>
    </w:rPr>
  </w:style>
  <w:style w:type="character" w:styleId="916">
    <w:name w:val="annotation reference"/>
    <w:basedOn w:val="722"/>
    <w:uiPriority w:val="99"/>
    <w:semiHidden/>
    <w:unhideWhenUsed/>
    <w:rPr>
      <w:sz w:val="16"/>
      <w:szCs w:val="16"/>
    </w:rPr>
  </w:style>
  <w:style w:type="paragraph" w:styleId="917">
    <w:name w:val="annotation text"/>
    <w:basedOn w:val="712"/>
    <w:link w:val="918"/>
    <w:uiPriority w:val="99"/>
    <w:semiHidden/>
    <w:unhideWhenUsed/>
    <w:rPr>
      <w:sz w:val="20"/>
      <w:szCs w:val="20"/>
    </w:rPr>
  </w:style>
  <w:style w:type="character" w:styleId="918" w:customStyle="1">
    <w:name w:val="Текст примечания Знак"/>
    <w:basedOn w:val="722"/>
    <w:link w:val="91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consultantplus://offline/main?base=LAW;n=108797;fld=134;dst=102531" TargetMode="External"/><Relationship Id="rId14" Type="http://schemas.openxmlformats.org/officeDocument/2006/relationships/hyperlink" Target="consultantplus://offline/main?base=LAW;n=108797;fld=134;dst=102200" TargetMode="External"/><Relationship Id="rId15" Type="http://schemas.openxmlformats.org/officeDocument/2006/relationships/hyperlink" Target="consultantplus://offline/main?base=LAW;n=108797;fld=134;dst=102219" TargetMode="External"/><Relationship Id="rId16" Type="http://schemas.openxmlformats.org/officeDocument/2006/relationships/hyperlink" Target="consultantplus://offline/main?base=LAW;n=108797;fld=134;dst=102817" TargetMode="External"/><Relationship Id="rId17" Type="http://schemas.openxmlformats.org/officeDocument/2006/relationships/hyperlink" Target="consultantplus://offline/main?base=LAW;n=108797;fld=134;dst=102359" TargetMode="External"/><Relationship Id="rId18" Type="http://schemas.openxmlformats.org/officeDocument/2006/relationships/hyperlink" Target="consultantplus://offline/main?base=LAW;n=108797;fld=134;dst=102996" TargetMode="External"/><Relationship Id="rId19" Type="http://schemas.openxmlformats.org/officeDocument/2006/relationships/hyperlink" Target="consultantplus://offline/ref=B7E0D3CAFFFF10D3E9A32224677F01971780F52490267D05489038CC69654B189742EA65DFD6FE38c6yBG" TargetMode="External"/><Relationship Id="rId20" Type="http://schemas.openxmlformats.org/officeDocument/2006/relationships/hyperlink" Target="consultantplus://offline/ref=B7E0D3CAFFFF10D3E9A32224677F01971780F52490267D05489038CC69654B189742EA65DFD6FF3Cc6yCG" TargetMode="External"/><Relationship Id="rId21" Type="http://schemas.openxmlformats.org/officeDocument/2006/relationships/hyperlink" Target="consultantplus://offline/ref=B7E0D3CAFFFF10D3E9A32224677F01971780F52490267D05489038CC69654B189742EA65DFD6FF3Bc6yAG" TargetMode="External"/><Relationship Id="rId22" Type="http://schemas.openxmlformats.org/officeDocument/2006/relationships/hyperlink" Target="consultantplus://offline/ref=B7E0D3CAFFFF10D3E9A32224677F01971780F52490267D05489038CC69654B189742EA65DFD6FF3Bc6y0G" TargetMode="External"/><Relationship Id="rId23" Type="http://schemas.openxmlformats.org/officeDocument/2006/relationships/hyperlink" Target="consultantplus://offline/ref=B7E0D3CAFFFF10D3E9A32224677F01971780F52490267D05489038CC69654B189742EA65DFD6FF3Ac6yCG" TargetMode="External"/><Relationship Id="rId24" Type="http://schemas.openxmlformats.org/officeDocument/2006/relationships/hyperlink" Target="consultantplus://offline/ref=8F24DC8F679F72D42CB28132D46A48549F02CC3C4367EADE040D6D3FD8E5D6C7327A32140E38RBmFM" TargetMode="External"/><Relationship Id="rId25" Type="http://schemas.openxmlformats.org/officeDocument/2006/relationships/hyperlink" Target="consultantplus://offline/main?base=LAW;n=108797;fld=134;dst=103389" TargetMode="External"/><Relationship Id="rId26" Type="http://schemas.openxmlformats.org/officeDocument/2006/relationships/hyperlink" Target="consultantplus://offline/main?base=LAW;n=108797;fld=134;dst=102200" TargetMode="External"/><Relationship Id="rId27" Type="http://schemas.openxmlformats.org/officeDocument/2006/relationships/hyperlink" Target="consultantplus://offline/main?base=LAW;n=108797;fld=134;dst=104162" TargetMode="External"/><Relationship Id="rId28" Type="http://schemas.openxmlformats.org/officeDocument/2006/relationships/hyperlink" Target="consultantplus://offline/main?base=LAW;n=108797;fld=134;dst=103994" TargetMode="External"/><Relationship Id="rId29" Type="http://schemas.openxmlformats.org/officeDocument/2006/relationships/hyperlink" Target="consultantplus://offline/main?base=LAW;n=108797;fld=134;dst=103826" TargetMode="External"/><Relationship Id="rId30" Type="http://schemas.openxmlformats.org/officeDocument/2006/relationships/hyperlink" Target="consultantplus://offline/main?base=LAW;n=108797;fld=134;dst=102219" TargetMode="External"/><Relationship Id="rId31" Type="http://schemas.openxmlformats.org/officeDocument/2006/relationships/hyperlink" Target="consultantplus://offline/ref=A573384E9CDCC5F94FB517D2472EF4238EB8F856FFA2C5CFC15336594A2B4D17F30A867983EFEF54PDH0O" TargetMode="External"/><Relationship Id="rId32" Type="http://schemas.openxmlformats.org/officeDocument/2006/relationships/hyperlink" Target="consultantplus://offline/ref=A573384E9CDCC5F94FB517D2472EF4238EB8F856FFA2C5CFC15336594A2B4D17F30A867983EFEE5EPDH6O" TargetMode="External"/><Relationship Id="rId33" Type="http://schemas.openxmlformats.org/officeDocument/2006/relationships/hyperlink" Target="consultantplus://offline/ref=A573384E9CDCC5F94FB517D2472EF4238EB8F856FFA2C5CFC15336594A2B4D17F30A867983EFE959PDH6O" TargetMode="External"/><Relationship Id="rId34" Type="http://schemas.openxmlformats.org/officeDocument/2006/relationships/hyperlink" Target="consultantplus://offline/ref=A573384E9CDCC5F94FB517D2472EF4238EB8F856FFA2C5CFC15336594A2B4D17F30A867983EFE958PDH7O" TargetMode="External"/><Relationship Id="rId35" Type="http://schemas.openxmlformats.org/officeDocument/2006/relationships/hyperlink" Target="consultantplus://offline/ref=A573384E9CDCC5F94FB517D2472EF4238EB8F856FFA2C5CFC15336594A2B4D17F30A867983EFE958PDH0O" TargetMode="External"/><Relationship Id="rId36" Type="http://schemas.openxmlformats.org/officeDocument/2006/relationships/hyperlink" Target="consultantplus://offline/ref=A573384E9CDCC5F94FB517D2472EF4238EB8F856FFA2C5CFC15336594A2B4D17F30A867983EFE95BPDH3O" TargetMode="External"/><Relationship Id="rId37" Type="http://schemas.openxmlformats.org/officeDocument/2006/relationships/hyperlink" Target="consultantplus://offline/ref=8F24DC8F679F72D42CB28132D46A48549F02CC3C4367EADE040D6D3FD8E5D6C7327A32140E38RBmFM" TargetMode="External"/><Relationship Id="rId38" Type="http://schemas.openxmlformats.org/officeDocument/2006/relationships/hyperlink" Target="consultantplus://offline/main?base=LAW;n=112540;fld=134;dst=100756" TargetMode="External"/><Relationship Id="rId39" Type="http://schemas.openxmlformats.org/officeDocument/2006/relationships/hyperlink" Target="consultantplus://offline/main?base=LAW;n=112540;fld=134;dst=100600" TargetMode="External"/><Relationship Id="rId40" Type="http://schemas.openxmlformats.org/officeDocument/2006/relationships/hyperlink" Target="consultantplus://offline/main?base=LAW;n=112540;fld=134;dst=100966" TargetMode="External"/><Relationship Id="rId41" Type="http://schemas.openxmlformats.org/officeDocument/2006/relationships/hyperlink" Target="consultantplus://offline/main?base=LAW;n=112540;fld=134;dst=100614" TargetMode="External"/><Relationship Id="rId42" Type="http://schemas.openxmlformats.org/officeDocument/2006/relationships/hyperlink" Target="consultantplus://offline/ref=A5AB675B30294652C3FD469CA259B4EA1FD9D062F5554166A057A1F09191A971DE9F50B0CB1268961Eu7I" TargetMode="External"/><Relationship Id="rId43" Type="http://schemas.openxmlformats.org/officeDocument/2006/relationships/hyperlink" Target="consultantplus://offline/main?base=LAW;n=112540;fld=134;dst=101094" TargetMode="External"/><Relationship Id="rId44" Type="http://schemas.openxmlformats.org/officeDocument/2006/relationships/hyperlink" Target="consultantplus://offline/ref=0F12C91E1DE7A5371F2A660F3AA35F3FDF086B631CB69ED20F413087B66ECADF0A03C78CB01288CC3BA3I" TargetMode="External"/><Relationship Id="rId45" Type="http://schemas.openxmlformats.org/officeDocument/2006/relationships/hyperlink" Target="consultantplus://offline/ref=8F24DC8F679F72D42CB28132D46A48549F02CC3C4367EADE040D6D3FD8E5D6C7327A32140E38RBmF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78F23-D049-45AE-B3CB-C4A6043E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Министерство финансов Саратовской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Гуреева</dc:creator>
  <cp:revision>4</cp:revision>
  <dcterms:created xsi:type="dcterms:W3CDTF">2025-11-24T15:20:00Z</dcterms:created>
  <dcterms:modified xsi:type="dcterms:W3CDTF">2025-11-28T05:36:37Z</dcterms:modified>
</cp:coreProperties>
</file>